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A25B" w14:textId="377C9696" w:rsidR="006C46DD" w:rsidRDefault="006C46DD" w:rsidP="006C46DD">
      <w:pPr>
        <w:pStyle w:val="Nadpis1"/>
        <w:rPr>
          <w:noProof w:val="0"/>
        </w:rPr>
      </w:pPr>
      <w:bookmarkStart w:id="0" w:name="_Toc48307928"/>
      <w:r w:rsidRPr="00837FA0">
        <w:rPr>
          <w:noProof w:val="0"/>
        </w:rPr>
        <w:t>OPIS PREDMETU ZÁKAZKY</w:t>
      </w:r>
      <w:bookmarkEnd w:id="0"/>
    </w:p>
    <w:p w14:paraId="59AF8A39" w14:textId="77777777" w:rsidR="006C46DD" w:rsidRDefault="006C46DD" w:rsidP="006C46DD">
      <w:pPr>
        <w:pStyle w:val="Odsekzoznamu"/>
        <w:keepNext/>
        <w:keepLines/>
        <w:spacing w:after="0" w:line="240" w:lineRule="auto"/>
        <w:jc w:val="both"/>
        <w:rPr>
          <w:rFonts w:ascii="Garamond" w:hAnsi="Garamond"/>
          <w:u w:val="single"/>
        </w:rPr>
      </w:pPr>
    </w:p>
    <w:p w14:paraId="3E568EA4" w14:textId="3C543EBA" w:rsidR="006C46DD" w:rsidRPr="00202A86" w:rsidRDefault="006C46DD" w:rsidP="00202A86">
      <w:pPr>
        <w:keepNext/>
        <w:keepLines/>
        <w:jc w:val="both"/>
        <w:rPr>
          <w:u w:val="single"/>
        </w:rPr>
      </w:pPr>
      <w:r w:rsidRPr="00202A86">
        <w:rPr>
          <w:u w:val="single"/>
        </w:rPr>
        <w:t>Špecifikácia:</w:t>
      </w:r>
    </w:p>
    <w:p w14:paraId="587556D8" w14:textId="77777777" w:rsidR="006C46DD" w:rsidRPr="00161147" w:rsidRDefault="006C46DD" w:rsidP="006C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8918E83" w14:textId="58724A8F" w:rsidR="006C46DD" w:rsidRDefault="006C46DD" w:rsidP="006C46DD">
      <w:pPr>
        <w:jc w:val="both"/>
        <w:rPr>
          <w:sz w:val="22"/>
          <w:szCs w:val="22"/>
        </w:rPr>
      </w:pPr>
      <w:r w:rsidRPr="00161147">
        <w:rPr>
          <w:rFonts w:cs="Arial"/>
          <w:sz w:val="22"/>
          <w:szCs w:val="22"/>
        </w:rPr>
        <w:t xml:space="preserve">Predmetom  zákazky je dodanie </w:t>
      </w:r>
      <w:r w:rsidR="00202A86">
        <w:rPr>
          <w:rFonts w:cs="Arial"/>
          <w:sz w:val="22"/>
          <w:szCs w:val="22"/>
        </w:rPr>
        <w:t>a montáž 2 ks</w:t>
      </w:r>
      <w:r w:rsidR="0069773D" w:rsidRPr="00161147">
        <w:rPr>
          <w:rFonts w:cs="Arial"/>
          <w:sz w:val="22"/>
          <w:szCs w:val="22"/>
        </w:rPr>
        <w:t xml:space="preserve"> </w:t>
      </w:r>
      <w:r w:rsidRPr="00161147">
        <w:rPr>
          <w:rFonts w:cs="Arial"/>
          <w:sz w:val="22"/>
          <w:szCs w:val="22"/>
        </w:rPr>
        <w:t>prístreškov pre cestujúcich verejnej hromadnej dopravy na zastávk</w:t>
      </w:r>
      <w:r>
        <w:rPr>
          <w:rFonts w:cs="Arial"/>
          <w:sz w:val="22"/>
          <w:szCs w:val="22"/>
        </w:rPr>
        <w:t xml:space="preserve">e </w:t>
      </w:r>
      <w:r w:rsidR="009815B0">
        <w:rPr>
          <w:rFonts w:cs="Arial"/>
          <w:sz w:val="22"/>
          <w:szCs w:val="22"/>
        </w:rPr>
        <w:t>električiek</w:t>
      </w:r>
      <w:r>
        <w:rPr>
          <w:rFonts w:cs="Arial"/>
          <w:sz w:val="22"/>
          <w:szCs w:val="22"/>
        </w:rPr>
        <w:t xml:space="preserve"> na Račianskom mýte</w:t>
      </w:r>
      <w:r w:rsidRPr="00161147">
        <w:rPr>
          <w:rFonts w:cs="Arial"/>
          <w:sz w:val="22"/>
          <w:szCs w:val="22"/>
        </w:rPr>
        <w:t>.</w:t>
      </w:r>
      <w:r w:rsidRPr="00161147">
        <w:rPr>
          <w:rFonts w:cs="Arial"/>
          <w:sz w:val="22"/>
          <w:szCs w:val="22"/>
        </w:rPr>
        <w:t xml:space="preserve"> </w:t>
      </w:r>
      <w:r w:rsidR="0069773D" w:rsidRPr="00161147">
        <w:rPr>
          <w:rFonts w:cs="Arial"/>
          <w:sz w:val="22"/>
          <w:szCs w:val="22"/>
        </w:rPr>
        <w:t xml:space="preserve">Technické parametre jednotlivých prístreškov s ich umiestnením sú určené v dokumentácii (situácii a technickej správe). </w:t>
      </w:r>
      <w:r w:rsidR="00202A86">
        <w:rPr>
          <w:rFonts w:cs="Arial"/>
          <w:sz w:val="22"/>
          <w:szCs w:val="22"/>
        </w:rPr>
        <w:t>Montáž</w:t>
      </w:r>
      <w:r w:rsidR="0069773D" w:rsidRPr="00161147">
        <w:rPr>
          <w:rFonts w:cs="Arial"/>
          <w:sz w:val="22"/>
          <w:szCs w:val="22"/>
        </w:rPr>
        <w:t xml:space="preserve"> zahŕň</w:t>
      </w:r>
      <w:r w:rsidR="00202A86">
        <w:rPr>
          <w:rFonts w:cs="Arial"/>
          <w:sz w:val="22"/>
          <w:szCs w:val="22"/>
        </w:rPr>
        <w:t>a</w:t>
      </w:r>
      <w:r w:rsidR="0069773D" w:rsidRPr="00161147">
        <w:rPr>
          <w:rFonts w:cs="Arial"/>
          <w:sz w:val="22"/>
          <w:szCs w:val="22"/>
        </w:rPr>
        <w:t xml:space="preserve"> vybudovanie základov a osadenie prístreškov s vybavením (vitrína, lavička).</w:t>
      </w:r>
      <w:r w:rsidR="0069773D" w:rsidRPr="00161147">
        <w:rPr>
          <w:rFonts w:cs="Arial"/>
          <w:sz w:val="22"/>
          <w:szCs w:val="22"/>
        </w:rPr>
        <w:t xml:space="preserve"> </w:t>
      </w:r>
      <w:r w:rsidRPr="00161147">
        <w:rPr>
          <w:rFonts w:cs="Arial"/>
          <w:sz w:val="22"/>
          <w:szCs w:val="22"/>
        </w:rPr>
        <w:t xml:space="preserve">Osvetlenie prístreškov je napájané pomocou sústavy fotovoltaických článkov. </w:t>
      </w:r>
    </w:p>
    <w:p w14:paraId="7315080F" w14:textId="77777777" w:rsidR="006C46DD" w:rsidRDefault="006C46DD" w:rsidP="006C46DD">
      <w:pPr>
        <w:jc w:val="both"/>
        <w:rPr>
          <w:sz w:val="22"/>
          <w:szCs w:val="22"/>
        </w:rPr>
      </w:pPr>
    </w:p>
    <w:p w14:paraId="08E32ACD" w14:textId="11F7CE75" w:rsidR="006C46DD" w:rsidRPr="006C46DD" w:rsidRDefault="006C46DD" w:rsidP="006C46DD">
      <w:pPr>
        <w:jc w:val="both"/>
        <w:rPr>
          <w:rFonts w:cs="Arial"/>
          <w:sz w:val="22"/>
          <w:szCs w:val="22"/>
        </w:rPr>
      </w:pPr>
      <w:r w:rsidRPr="006C46DD">
        <w:rPr>
          <w:rFonts w:cs="Arial"/>
          <w:sz w:val="22"/>
          <w:szCs w:val="22"/>
        </w:rPr>
        <w:t xml:space="preserve">Úspešný uchádzač musí rešpektovať požiadavku obstarávateľskej organizácie, že z dôvodu zachovania jednotnosti vyhotovenia prístreškov a ich detailov, ako sú farba, náter, sieťotlač, atď, všetky tieto parametre stanoví obstarávateľská organizácia. Návrh finálneho technického riešenia, vrátane vizualizácie, musí byť konzultovaný a odsúhlasený obstarávateľskou organizáciou. </w:t>
      </w:r>
    </w:p>
    <w:p w14:paraId="0DEDBDFD" w14:textId="77777777" w:rsidR="006C46DD" w:rsidRPr="006C46DD" w:rsidRDefault="006C46DD" w:rsidP="006C46DD">
      <w:pPr>
        <w:jc w:val="both"/>
        <w:rPr>
          <w:rFonts w:cs="Arial"/>
          <w:sz w:val="22"/>
          <w:szCs w:val="22"/>
        </w:rPr>
      </w:pPr>
    </w:p>
    <w:p w14:paraId="749E3945" w14:textId="1966AF71" w:rsidR="006C46DD" w:rsidRPr="006C46DD" w:rsidRDefault="006C46DD" w:rsidP="006C46DD">
      <w:pPr>
        <w:jc w:val="both"/>
        <w:rPr>
          <w:rFonts w:cs="Arial"/>
          <w:sz w:val="22"/>
          <w:szCs w:val="22"/>
        </w:rPr>
      </w:pPr>
      <w:r w:rsidRPr="006C46DD">
        <w:rPr>
          <w:rFonts w:cs="Arial"/>
          <w:sz w:val="22"/>
          <w:szCs w:val="22"/>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w:t>
      </w:r>
      <w:r w:rsidR="002404E6">
        <w:rPr>
          <w:rFonts w:cs="Arial"/>
          <w:sz w:val="22"/>
          <w:szCs w:val="22"/>
        </w:rPr>
        <w:t> opise predmetu zákazky</w:t>
      </w:r>
      <w:r w:rsidRPr="006C46DD">
        <w:rPr>
          <w:rFonts w:cs="Arial"/>
          <w:sz w:val="22"/>
          <w:szCs w:val="22"/>
        </w:rPr>
        <w:t>, túto skutočnosť však musí preukázať uchádzač.</w:t>
      </w:r>
    </w:p>
    <w:p w14:paraId="75080C44" w14:textId="77777777" w:rsidR="006C46DD" w:rsidRPr="00161147" w:rsidRDefault="006C46DD" w:rsidP="006C46DD">
      <w:pPr>
        <w:jc w:val="both"/>
        <w:rPr>
          <w:rFonts w:cs="Arial"/>
          <w:sz w:val="22"/>
          <w:szCs w:val="22"/>
        </w:rPr>
      </w:pPr>
    </w:p>
    <w:p w14:paraId="28286B90" w14:textId="136532C2" w:rsidR="006C46DD" w:rsidRPr="006C46DD" w:rsidRDefault="006C46DD" w:rsidP="006C46DD">
      <w:pPr>
        <w:jc w:val="both"/>
        <w:rPr>
          <w:rFonts w:cs="Arial"/>
          <w:sz w:val="22"/>
          <w:szCs w:val="22"/>
        </w:rPr>
      </w:pPr>
      <w:r w:rsidRPr="00161147">
        <w:rPr>
          <w:rFonts w:cs="Arial"/>
          <w:sz w:val="22"/>
          <w:szCs w:val="22"/>
        </w:rPr>
        <w:t>Na prístreškoch bude vypracované statické posúdenie zodpovednou osobou podľa platných Európskych noriem a národných príloh</w:t>
      </w:r>
      <w:r w:rsidR="00914A9F">
        <w:rPr>
          <w:rFonts w:cs="Arial"/>
          <w:sz w:val="22"/>
          <w:szCs w:val="22"/>
        </w:rPr>
        <w:t xml:space="preserve"> s uvážovaním kotvenia do CB podkladu, viď. bod 2.1</w:t>
      </w:r>
      <w:r w:rsidRPr="00161147">
        <w:rPr>
          <w:rFonts w:cs="Arial"/>
          <w:sz w:val="22"/>
          <w:szCs w:val="22"/>
        </w:rPr>
        <w:t>.</w:t>
      </w:r>
    </w:p>
    <w:p w14:paraId="52D28DCE" w14:textId="77777777" w:rsidR="006C46DD" w:rsidRPr="00BB75E4" w:rsidRDefault="006C46DD" w:rsidP="006C46DD">
      <w:pPr>
        <w:jc w:val="both"/>
        <w:rPr>
          <w:rFonts w:cstheme="minorHAnsi"/>
        </w:rPr>
      </w:pPr>
      <w:bookmarkStart w:id="1" w:name="_Hlk73081369"/>
      <w:bookmarkEnd w:id="1"/>
    </w:p>
    <w:p w14:paraId="7296F39F" w14:textId="77777777" w:rsidR="006C46DD" w:rsidRPr="00BB75E4" w:rsidRDefault="006C46DD" w:rsidP="006C46DD">
      <w:pPr>
        <w:pStyle w:val="Nadpis2"/>
        <w:numPr>
          <w:ilvl w:val="0"/>
          <w:numId w:val="1"/>
        </w:numPr>
        <w:tabs>
          <w:tab w:val="num" w:pos="360"/>
        </w:tabs>
        <w:ind w:left="0" w:hanging="426"/>
        <w:jc w:val="both"/>
        <w:rPr>
          <w:rFonts w:cstheme="minorHAnsi"/>
          <w:b w:val="0"/>
          <w:sz w:val="22"/>
          <w:szCs w:val="22"/>
        </w:rPr>
      </w:pPr>
      <w:bookmarkStart w:id="2" w:name="_Toc30065119"/>
      <w:bookmarkStart w:id="3" w:name="_Toc30588810"/>
      <w:bookmarkStart w:id="4" w:name="_Toc72265396"/>
      <w:r w:rsidRPr="00BB75E4">
        <w:rPr>
          <w:rFonts w:cstheme="minorHAnsi"/>
          <w:sz w:val="22"/>
          <w:szCs w:val="22"/>
        </w:rPr>
        <w:t>ÚVOD</w:t>
      </w:r>
    </w:p>
    <w:p w14:paraId="22FEC7DD" w14:textId="04772C06" w:rsidR="006C46DD" w:rsidRPr="00BB75E4" w:rsidRDefault="006C46DD" w:rsidP="006C46DD">
      <w:pPr>
        <w:autoSpaceDE w:val="0"/>
        <w:autoSpaceDN w:val="0"/>
        <w:adjustRightInd w:val="0"/>
        <w:spacing w:line="276" w:lineRule="auto"/>
        <w:jc w:val="both"/>
        <w:rPr>
          <w:rFonts w:cstheme="minorHAnsi"/>
          <w:sz w:val="22"/>
          <w:szCs w:val="22"/>
        </w:rPr>
      </w:pPr>
      <w:r w:rsidRPr="00BB75E4">
        <w:rPr>
          <w:rFonts w:cstheme="minorHAnsi"/>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(v prípade potreby sa vybudujú aj viaceré prístrešky, aby bola dosiahnutá požadovaná kapacita). Prístrešok musí byť vyhotovený v „antivandal“ a „antigrafiti“ prevedení. Prístrešok musí byť v takom prevedení, aby sa cestujúci v prístrešku a vodič vozidla navzájom videli, najmä pri vchádzaní do zastávky s charakterom „na znamenie“.</w:t>
      </w:r>
    </w:p>
    <w:p w14:paraId="23464141" w14:textId="77777777" w:rsidR="006C46DD" w:rsidRPr="00BB75E4" w:rsidRDefault="006C46DD" w:rsidP="006C46DD">
      <w:pPr>
        <w:autoSpaceDE w:val="0"/>
        <w:autoSpaceDN w:val="0"/>
        <w:adjustRightInd w:val="0"/>
        <w:jc w:val="both"/>
        <w:rPr>
          <w:rFonts w:cstheme="minorHAnsi"/>
          <w:sz w:val="22"/>
          <w:szCs w:val="22"/>
        </w:rPr>
      </w:pPr>
    </w:p>
    <w:p w14:paraId="59421787" w14:textId="77777777" w:rsidR="006C46DD" w:rsidRPr="00BB75E4" w:rsidRDefault="006C46DD" w:rsidP="006C46DD">
      <w:pPr>
        <w:pStyle w:val="Nadpis2"/>
        <w:numPr>
          <w:ilvl w:val="0"/>
          <w:numId w:val="1"/>
        </w:numPr>
        <w:tabs>
          <w:tab w:val="num" w:pos="360"/>
        </w:tabs>
        <w:ind w:left="0" w:hanging="426"/>
        <w:jc w:val="both"/>
        <w:rPr>
          <w:rFonts w:cstheme="minorHAnsi"/>
          <w:sz w:val="22"/>
          <w:szCs w:val="22"/>
        </w:rPr>
      </w:pPr>
      <w:r w:rsidRPr="00BB75E4">
        <w:rPr>
          <w:rFonts w:cstheme="minorHAnsi"/>
          <w:sz w:val="22"/>
          <w:szCs w:val="22"/>
        </w:rPr>
        <w:t>ZÁKLADNÉ POŽIADAVKY NA PRÍSTREŠOK</w:t>
      </w:r>
    </w:p>
    <w:p w14:paraId="578D89BB" w14:textId="77777777" w:rsidR="006C46DD" w:rsidRPr="00BB75E4" w:rsidRDefault="006C46DD" w:rsidP="006C46DD">
      <w:pPr>
        <w:autoSpaceDE w:val="0"/>
        <w:autoSpaceDN w:val="0"/>
        <w:adjustRightInd w:val="0"/>
        <w:jc w:val="both"/>
        <w:rPr>
          <w:rFonts w:cstheme="minorHAnsi"/>
          <w:sz w:val="22"/>
          <w:szCs w:val="22"/>
        </w:rPr>
      </w:pPr>
    </w:p>
    <w:p w14:paraId="6BE9B627"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Všeobecne:</w:t>
      </w:r>
    </w:p>
    <w:p w14:paraId="7FFDF398" w14:textId="77777777" w:rsidR="006C46DD" w:rsidRPr="00BB75E4" w:rsidRDefault="006C46DD" w:rsidP="006C46DD">
      <w:pPr>
        <w:ind w:left="567"/>
        <w:jc w:val="both"/>
        <w:rPr>
          <w:rFonts w:cstheme="minorHAnsi"/>
          <w:sz w:val="22"/>
          <w:szCs w:val="22"/>
        </w:rPr>
      </w:pPr>
      <w:r w:rsidRPr="00BB75E4">
        <w:rPr>
          <w:rFonts w:cstheme="minorHAnsi"/>
          <w:sz w:val="22"/>
          <w:szCs w:val="22"/>
        </w:rPr>
        <w:t xml:space="preserve">Prístrešok bude pozostávať z oceľovej konštrukcie so sklenenými výplňami v zadnej a bočných stenách. Strecha bude vytvorená z lepeného bezpečnostného skla so zalaminovanými fotovoltaickými panelmi. Konštrukcia bude na mieste zmontovaná pomocou skrutkovaných spojov z nehrdzavejúcej ocele. </w:t>
      </w:r>
    </w:p>
    <w:p w14:paraId="25725F9B" w14:textId="4826765F" w:rsidR="006C46DD" w:rsidRDefault="006C46DD" w:rsidP="009815B0">
      <w:pPr>
        <w:ind w:left="567"/>
        <w:jc w:val="both"/>
        <w:rPr>
          <w:rFonts w:cstheme="minorHAnsi"/>
          <w:sz w:val="22"/>
          <w:szCs w:val="22"/>
        </w:rPr>
      </w:pPr>
      <w:r w:rsidRPr="00BB75E4">
        <w:rPr>
          <w:rFonts w:cstheme="minorHAnsi"/>
          <w:sz w:val="22"/>
          <w:szCs w:val="22"/>
        </w:rPr>
        <w:t>Prístrešok bude ukotvený do základov z cementového betónu C25/30-XC2, XA1 vystuženého betonárskou oceľou B500B (10505-R)</w:t>
      </w:r>
    </w:p>
    <w:p w14:paraId="2FCA94E7" w14:textId="77777777" w:rsidR="006C46DD" w:rsidRPr="00BB75E4" w:rsidRDefault="006C46DD" w:rsidP="006C46DD">
      <w:pPr>
        <w:ind w:left="567"/>
        <w:jc w:val="both"/>
        <w:rPr>
          <w:rFonts w:cstheme="minorHAnsi"/>
          <w:sz w:val="22"/>
          <w:szCs w:val="22"/>
        </w:rPr>
      </w:pPr>
    </w:p>
    <w:p w14:paraId="09BF225C"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Rozmery prístreškov:</w:t>
      </w:r>
    </w:p>
    <w:tbl>
      <w:tblPr>
        <w:tblpPr w:leftFromText="141" w:rightFromText="141" w:vertAnchor="text" w:horzAnchor="margin" w:tblpXSpec="center" w:tblpY="183"/>
        <w:tblW w:w="8251" w:type="dxa"/>
        <w:tblCellMar>
          <w:left w:w="70" w:type="dxa"/>
          <w:right w:w="70" w:type="dxa"/>
        </w:tblCellMar>
        <w:tblLook w:val="04A0" w:firstRow="1" w:lastRow="0" w:firstColumn="1" w:lastColumn="0" w:noHBand="0" w:noVBand="1"/>
      </w:tblPr>
      <w:tblGrid>
        <w:gridCol w:w="615"/>
        <w:gridCol w:w="945"/>
        <w:gridCol w:w="1255"/>
        <w:gridCol w:w="837"/>
        <w:gridCol w:w="1060"/>
        <w:gridCol w:w="697"/>
        <w:gridCol w:w="1094"/>
        <w:gridCol w:w="849"/>
        <w:gridCol w:w="899"/>
      </w:tblGrid>
      <w:tr w:rsidR="0074480A" w:rsidRPr="0034732C" w14:paraId="6A1584F5" w14:textId="77777777" w:rsidTr="006C46DD">
        <w:trPr>
          <w:trHeight w:val="465"/>
        </w:trPr>
        <w:tc>
          <w:tcPr>
            <w:tcW w:w="615" w:type="dxa"/>
            <w:tcBorders>
              <w:top w:val="single" w:sz="12" w:space="0" w:color="auto"/>
              <w:left w:val="single" w:sz="12" w:space="0" w:color="auto"/>
              <w:bottom w:val="single" w:sz="12" w:space="0" w:color="auto"/>
              <w:right w:val="single" w:sz="4" w:space="0" w:color="auto"/>
            </w:tcBorders>
            <w:shd w:val="clear" w:color="auto" w:fill="C5E0B3" w:themeFill="accent6" w:themeFillTint="66"/>
            <w:vAlign w:val="center"/>
            <w:hideMark/>
          </w:tcPr>
          <w:p w14:paraId="0E990B8F" w14:textId="77777777" w:rsidR="006C46DD" w:rsidRPr="00C268BD" w:rsidRDefault="006C46DD" w:rsidP="006C46DD">
            <w:pPr>
              <w:jc w:val="center"/>
              <w:rPr>
                <w:rFonts w:cs="Calibri"/>
                <w:b/>
                <w:bCs/>
                <w:noProof w:val="0"/>
                <w:color w:val="000000" w:themeColor="text1"/>
                <w:sz w:val="22"/>
                <w:szCs w:val="22"/>
              </w:rPr>
            </w:pPr>
            <w:r w:rsidRPr="00C268BD">
              <w:rPr>
                <w:rFonts w:cs="Calibri"/>
                <w:b/>
                <w:bCs/>
                <w:noProof w:val="0"/>
                <w:color w:val="000000" w:themeColor="text1"/>
                <w:sz w:val="22"/>
                <w:szCs w:val="22"/>
              </w:rPr>
              <w:t>Číslo</w:t>
            </w:r>
          </w:p>
        </w:tc>
        <w:tc>
          <w:tcPr>
            <w:tcW w:w="945"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205D206D" w14:textId="77777777" w:rsidR="006C46DD" w:rsidRPr="00C268BD" w:rsidRDefault="006C46DD" w:rsidP="006C46DD">
            <w:pPr>
              <w:jc w:val="center"/>
              <w:rPr>
                <w:rFonts w:cs="Calibri"/>
                <w:b/>
                <w:bCs/>
                <w:noProof w:val="0"/>
                <w:color w:val="000000" w:themeColor="text1"/>
                <w:sz w:val="22"/>
                <w:szCs w:val="22"/>
              </w:rPr>
            </w:pPr>
            <w:proofErr w:type="spellStart"/>
            <w:r w:rsidRPr="00C268BD">
              <w:rPr>
                <w:rFonts w:cs="Calibri"/>
                <w:b/>
                <w:bCs/>
                <w:noProof w:val="0"/>
                <w:color w:val="000000" w:themeColor="text1"/>
                <w:sz w:val="22"/>
                <w:szCs w:val="22"/>
              </w:rPr>
              <w:t>Passport</w:t>
            </w:r>
            <w:proofErr w:type="spellEnd"/>
          </w:p>
        </w:tc>
        <w:tc>
          <w:tcPr>
            <w:tcW w:w="1255"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2FB1C745" w14:textId="77777777" w:rsidR="006C46DD" w:rsidRPr="00C268BD" w:rsidRDefault="006C46DD" w:rsidP="006C46DD">
            <w:pPr>
              <w:jc w:val="center"/>
              <w:rPr>
                <w:rFonts w:cs="Calibri"/>
                <w:b/>
                <w:bCs/>
                <w:noProof w:val="0"/>
                <w:color w:val="000000" w:themeColor="text1"/>
                <w:sz w:val="22"/>
                <w:szCs w:val="22"/>
              </w:rPr>
            </w:pPr>
            <w:r w:rsidRPr="00C268BD">
              <w:rPr>
                <w:rFonts w:cs="Calibri"/>
                <w:b/>
                <w:bCs/>
                <w:noProof w:val="0"/>
                <w:color w:val="000000" w:themeColor="text1"/>
                <w:sz w:val="22"/>
                <w:szCs w:val="22"/>
              </w:rPr>
              <w:t>Názov</w:t>
            </w:r>
          </w:p>
        </w:tc>
        <w:tc>
          <w:tcPr>
            <w:tcW w:w="837"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52367B74" w14:textId="77777777" w:rsidR="006C46DD" w:rsidRPr="00C268BD" w:rsidRDefault="006C46DD" w:rsidP="006C46DD">
            <w:pPr>
              <w:jc w:val="center"/>
              <w:rPr>
                <w:rFonts w:cs="Calibri"/>
                <w:b/>
                <w:bCs/>
                <w:noProof w:val="0"/>
                <w:color w:val="000000" w:themeColor="text1"/>
                <w:sz w:val="22"/>
                <w:szCs w:val="22"/>
              </w:rPr>
            </w:pPr>
            <w:r w:rsidRPr="00C268BD">
              <w:rPr>
                <w:rFonts w:cs="Calibri"/>
                <w:b/>
                <w:bCs/>
                <w:noProof w:val="0"/>
                <w:color w:val="000000" w:themeColor="text1"/>
                <w:sz w:val="22"/>
                <w:szCs w:val="22"/>
              </w:rPr>
              <w:t>MČ</w:t>
            </w:r>
          </w:p>
        </w:tc>
        <w:tc>
          <w:tcPr>
            <w:tcW w:w="1757" w:type="dxa"/>
            <w:gridSpan w:val="2"/>
            <w:tcBorders>
              <w:top w:val="single" w:sz="12" w:space="0" w:color="auto"/>
              <w:left w:val="nil"/>
              <w:bottom w:val="single" w:sz="8" w:space="0" w:color="auto"/>
              <w:right w:val="single" w:sz="4" w:space="0" w:color="auto"/>
            </w:tcBorders>
            <w:shd w:val="clear" w:color="auto" w:fill="C5E0B3" w:themeFill="accent6" w:themeFillTint="66"/>
            <w:vAlign w:val="center"/>
            <w:hideMark/>
          </w:tcPr>
          <w:p w14:paraId="0F2B05BB" w14:textId="77777777" w:rsidR="006C46DD" w:rsidRPr="00C268BD" w:rsidRDefault="006C46DD" w:rsidP="006C46DD">
            <w:pPr>
              <w:jc w:val="center"/>
              <w:rPr>
                <w:rFonts w:cs="Calibri"/>
                <w:b/>
                <w:bCs/>
                <w:noProof w:val="0"/>
                <w:color w:val="000000" w:themeColor="text1"/>
                <w:sz w:val="22"/>
                <w:szCs w:val="22"/>
              </w:rPr>
            </w:pPr>
            <w:r w:rsidRPr="00C268BD">
              <w:rPr>
                <w:rFonts w:cs="Calibri"/>
                <w:b/>
                <w:bCs/>
                <w:noProof w:val="0"/>
                <w:color w:val="000000" w:themeColor="text1"/>
                <w:sz w:val="22"/>
                <w:szCs w:val="22"/>
              </w:rPr>
              <w:t>Smer</w:t>
            </w:r>
          </w:p>
        </w:tc>
        <w:tc>
          <w:tcPr>
            <w:tcW w:w="1094"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0087A2B1" w14:textId="714BE284" w:rsidR="006C46DD" w:rsidRPr="00C268BD" w:rsidRDefault="0074480A" w:rsidP="006C46DD">
            <w:pPr>
              <w:jc w:val="center"/>
              <w:rPr>
                <w:rFonts w:cs="Calibri"/>
                <w:b/>
                <w:bCs/>
                <w:noProof w:val="0"/>
                <w:color w:val="000000" w:themeColor="text1"/>
                <w:sz w:val="22"/>
                <w:szCs w:val="22"/>
              </w:rPr>
            </w:pPr>
            <w:r>
              <w:rPr>
                <w:rFonts w:cs="Calibri"/>
                <w:b/>
                <w:bCs/>
                <w:noProof w:val="0"/>
                <w:color w:val="000000" w:themeColor="text1"/>
                <w:sz w:val="22"/>
                <w:szCs w:val="22"/>
              </w:rPr>
              <w:t>Dĺžka prístrešku</w:t>
            </w:r>
          </w:p>
        </w:tc>
        <w:tc>
          <w:tcPr>
            <w:tcW w:w="849"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6E7905EA" w14:textId="4CC7C651" w:rsidR="006C46DD" w:rsidRPr="00C268BD" w:rsidRDefault="0074480A" w:rsidP="006C46DD">
            <w:pPr>
              <w:jc w:val="center"/>
              <w:rPr>
                <w:rFonts w:cs="Calibri"/>
                <w:b/>
                <w:bCs/>
                <w:noProof w:val="0"/>
                <w:color w:val="000000" w:themeColor="text1"/>
                <w:sz w:val="22"/>
                <w:szCs w:val="22"/>
              </w:rPr>
            </w:pPr>
            <w:r>
              <w:rPr>
                <w:rFonts w:cs="Calibri"/>
                <w:b/>
                <w:bCs/>
                <w:noProof w:val="0"/>
                <w:color w:val="000000" w:themeColor="text1"/>
                <w:sz w:val="22"/>
                <w:szCs w:val="22"/>
              </w:rPr>
              <w:t>Šírka s</w:t>
            </w:r>
            <w:r w:rsidR="006C46DD" w:rsidRPr="00C268BD">
              <w:rPr>
                <w:rFonts w:cs="Calibri"/>
                <w:b/>
                <w:bCs/>
                <w:noProof w:val="0"/>
                <w:color w:val="000000" w:themeColor="text1"/>
                <w:sz w:val="22"/>
                <w:szCs w:val="22"/>
              </w:rPr>
              <w:t>trech</w:t>
            </w:r>
            <w:r>
              <w:rPr>
                <w:rFonts w:cs="Calibri"/>
                <w:b/>
                <w:bCs/>
                <w:noProof w:val="0"/>
                <w:color w:val="000000" w:themeColor="text1"/>
                <w:sz w:val="22"/>
                <w:szCs w:val="22"/>
              </w:rPr>
              <w:t>y</w:t>
            </w:r>
          </w:p>
        </w:tc>
        <w:tc>
          <w:tcPr>
            <w:tcW w:w="899" w:type="dxa"/>
            <w:tcBorders>
              <w:top w:val="single" w:sz="12" w:space="0" w:color="auto"/>
              <w:left w:val="nil"/>
              <w:bottom w:val="single" w:sz="12" w:space="0" w:color="auto"/>
              <w:right w:val="single" w:sz="12" w:space="0" w:color="auto"/>
            </w:tcBorders>
            <w:shd w:val="clear" w:color="auto" w:fill="C5E0B3" w:themeFill="accent6" w:themeFillTint="66"/>
            <w:vAlign w:val="center"/>
            <w:hideMark/>
          </w:tcPr>
          <w:p w14:paraId="33E4C2E4" w14:textId="7BB106AC" w:rsidR="006C46DD" w:rsidRPr="00C268BD" w:rsidRDefault="0074480A" w:rsidP="006C46DD">
            <w:pPr>
              <w:jc w:val="center"/>
              <w:rPr>
                <w:rFonts w:cs="Calibri"/>
                <w:b/>
                <w:bCs/>
                <w:noProof w:val="0"/>
                <w:color w:val="000000" w:themeColor="text1"/>
                <w:sz w:val="22"/>
                <w:szCs w:val="22"/>
              </w:rPr>
            </w:pPr>
            <w:r>
              <w:rPr>
                <w:rFonts w:cs="Calibri"/>
                <w:b/>
                <w:bCs/>
                <w:noProof w:val="0"/>
                <w:color w:val="000000" w:themeColor="text1"/>
                <w:sz w:val="22"/>
                <w:szCs w:val="22"/>
              </w:rPr>
              <w:t>Šírka b</w:t>
            </w:r>
            <w:r w:rsidR="006C46DD" w:rsidRPr="00C268BD">
              <w:rPr>
                <w:rFonts w:cs="Calibri"/>
                <w:b/>
                <w:bCs/>
                <w:noProof w:val="0"/>
                <w:color w:val="000000" w:themeColor="text1"/>
                <w:sz w:val="22"/>
                <w:szCs w:val="22"/>
              </w:rPr>
              <w:t>očnic</w:t>
            </w:r>
            <w:r>
              <w:rPr>
                <w:rFonts w:cs="Calibri"/>
                <w:b/>
                <w:bCs/>
                <w:noProof w:val="0"/>
                <w:color w:val="000000" w:themeColor="text1"/>
                <w:sz w:val="22"/>
                <w:szCs w:val="22"/>
              </w:rPr>
              <w:t>e</w:t>
            </w:r>
          </w:p>
        </w:tc>
      </w:tr>
      <w:tr w:rsidR="0074480A" w:rsidRPr="0034732C" w14:paraId="1611C47E" w14:textId="77777777" w:rsidTr="006C46DD">
        <w:trPr>
          <w:trHeight w:val="588"/>
        </w:trPr>
        <w:tc>
          <w:tcPr>
            <w:tcW w:w="61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69AACEE" w14:textId="77777777"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1</w:t>
            </w:r>
          </w:p>
        </w:tc>
        <w:tc>
          <w:tcPr>
            <w:tcW w:w="945" w:type="dxa"/>
            <w:tcBorders>
              <w:top w:val="single" w:sz="12" w:space="0" w:color="auto"/>
              <w:left w:val="nil"/>
              <w:bottom w:val="single" w:sz="4" w:space="0" w:color="auto"/>
              <w:right w:val="single" w:sz="4" w:space="0" w:color="auto"/>
            </w:tcBorders>
            <w:shd w:val="clear" w:color="auto" w:fill="auto"/>
            <w:vAlign w:val="center"/>
            <w:hideMark/>
          </w:tcPr>
          <w:p w14:paraId="06E8FEF4" w14:textId="6172467F"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332 01</w:t>
            </w:r>
          </w:p>
        </w:tc>
        <w:tc>
          <w:tcPr>
            <w:tcW w:w="1255" w:type="dxa"/>
            <w:tcBorders>
              <w:top w:val="single" w:sz="12" w:space="0" w:color="auto"/>
              <w:left w:val="nil"/>
              <w:bottom w:val="single" w:sz="4" w:space="0" w:color="auto"/>
              <w:right w:val="single" w:sz="4" w:space="0" w:color="auto"/>
            </w:tcBorders>
            <w:shd w:val="clear" w:color="auto" w:fill="auto"/>
            <w:vAlign w:val="center"/>
            <w:hideMark/>
          </w:tcPr>
          <w:p w14:paraId="33899DF9" w14:textId="54ADBB5C" w:rsidR="006C46DD" w:rsidRPr="00C268BD" w:rsidRDefault="006C46DD" w:rsidP="006C46DD">
            <w:pPr>
              <w:jc w:val="center"/>
              <w:rPr>
                <w:rFonts w:cs="Calibri"/>
                <w:noProof w:val="0"/>
                <w:color w:val="000000" w:themeColor="text1"/>
                <w:sz w:val="22"/>
                <w:szCs w:val="22"/>
              </w:rPr>
            </w:pPr>
            <w:r>
              <w:rPr>
                <w:rFonts w:cs="Calibri"/>
                <w:noProof w:val="0"/>
                <w:color w:val="000000" w:themeColor="text1"/>
                <w:sz w:val="22"/>
                <w:szCs w:val="22"/>
              </w:rPr>
              <w:t>Račianske mýto</w:t>
            </w:r>
          </w:p>
        </w:tc>
        <w:tc>
          <w:tcPr>
            <w:tcW w:w="837" w:type="dxa"/>
            <w:tcBorders>
              <w:top w:val="single" w:sz="12" w:space="0" w:color="auto"/>
              <w:left w:val="nil"/>
              <w:bottom w:val="single" w:sz="4" w:space="0" w:color="auto"/>
              <w:right w:val="single" w:sz="4" w:space="0" w:color="auto"/>
            </w:tcBorders>
            <w:shd w:val="clear" w:color="auto" w:fill="auto"/>
            <w:vAlign w:val="center"/>
            <w:hideMark/>
          </w:tcPr>
          <w:p w14:paraId="417E304D" w14:textId="77777777"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Nové Mesto</w:t>
            </w:r>
          </w:p>
        </w:tc>
        <w:tc>
          <w:tcPr>
            <w:tcW w:w="1060" w:type="dxa"/>
            <w:tcBorders>
              <w:top w:val="single" w:sz="12" w:space="0" w:color="auto"/>
              <w:left w:val="nil"/>
              <w:bottom w:val="single" w:sz="4" w:space="0" w:color="auto"/>
              <w:right w:val="single" w:sz="4" w:space="0" w:color="auto"/>
            </w:tcBorders>
            <w:shd w:val="clear" w:color="auto" w:fill="auto"/>
            <w:vAlign w:val="center"/>
            <w:hideMark/>
          </w:tcPr>
          <w:p w14:paraId="210FC175" w14:textId="5A61A9C6" w:rsidR="006C46DD" w:rsidRPr="00C268BD" w:rsidRDefault="00914A9F" w:rsidP="006C46DD">
            <w:pPr>
              <w:jc w:val="center"/>
              <w:rPr>
                <w:rFonts w:cs="Calibri"/>
                <w:noProof w:val="0"/>
                <w:color w:val="000000" w:themeColor="text1"/>
                <w:sz w:val="22"/>
                <w:szCs w:val="22"/>
              </w:rPr>
            </w:pPr>
            <w:proofErr w:type="spellStart"/>
            <w:r>
              <w:rPr>
                <w:rFonts w:cs="Calibri"/>
                <w:noProof w:val="0"/>
                <w:color w:val="000000" w:themeColor="text1"/>
                <w:sz w:val="22"/>
                <w:szCs w:val="22"/>
              </w:rPr>
              <w:t>Blumentál</w:t>
            </w:r>
            <w:proofErr w:type="spellEnd"/>
          </w:p>
        </w:tc>
        <w:tc>
          <w:tcPr>
            <w:tcW w:w="697" w:type="dxa"/>
            <w:tcBorders>
              <w:top w:val="single" w:sz="12" w:space="0" w:color="auto"/>
              <w:left w:val="nil"/>
              <w:bottom w:val="single" w:sz="4" w:space="0" w:color="auto"/>
              <w:right w:val="single" w:sz="4" w:space="0" w:color="auto"/>
            </w:tcBorders>
            <w:shd w:val="clear" w:color="auto" w:fill="auto"/>
            <w:vAlign w:val="center"/>
            <w:hideMark/>
          </w:tcPr>
          <w:p w14:paraId="747D63EB" w14:textId="77777777"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mesto</w:t>
            </w:r>
          </w:p>
        </w:tc>
        <w:tc>
          <w:tcPr>
            <w:tcW w:w="1094" w:type="dxa"/>
            <w:tcBorders>
              <w:top w:val="single" w:sz="12" w:space="0" w:color="auto"/>
              <w:left w:val="nil"/>
              <w:bottom w:val="single" w:sz="4" w:space="0" w:color="auto"/>
              <w:right w:val="single" w:sz="4" w:space="0" w:color="auto"/>
            </w:tcBorders>
            <w:shd w:val="clear" w:color="auto" w:fill="auto"/>
            <w:vAlign w:val="center"/>
            <w:hideMark/>
          </w:tcPr>
          <w:p w14:paraId="096F13FA" w14:textId="4CE05713"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8 m</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055E1CFD" w14:textId="6171A9DC"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1.8</w:t>
            </w:r>
            <w:r w:rsidR="00914A9F">
              <w:rPr>
                <w:rFonts w:cs="Calibri"/>
                <w:noProof w:val="0"/>
                <w:color w:val="000000" w:themeColor="text1"/>
                <w:sz w:val="22"/>
                <w:szCs w:val="22"/>
              </w:rPr>
              <w:t xml:space="preserve"> m</w:t>
            </w:r>
          </w:p>
        </w:tc>
        <w:tc>
          <w:tcPr>
            <w:tcW w:w="899" w:type="dxa"/>
            <w:tcBorders>
              <w:top w:val="single" w:sz="12" w:space="0" w:color="auto"/>
              <w:left w:val="nil"/>
              <w:bottom w:val="single" w:sz="4" w:space="0" w:color="auto"/>
              <w:right w:val="single" w:sz="4" w:space="0" w:color="auto"/>
            </w:tcBorders>
            <w:shd w:val="clear" w:color="auto" w:fill="auto"/>
            <w:vAlign w:val="center"/>
            <w:hideMark/>
          </w:tcPr>
          <w:p w14:paraId="068ACE1C" w14:textId="533529A2"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1.0</w:t>
            </w:r>
            <w:r w:rsidR="004E1130">
              <w:rPr>
                <w:rFonts w:cs="Calibri"/>
                <w:noProof w:val="0"/>
                <w:color w:val="000000" w:themeColor="text1"/>
                <w:sz w:val="22"/>
                <w:szCs w:val="22"/>
              </w:rPr>
              <w:t xml:space="preserve"> m</w:t>
            </w:r>
          </w:p>
        </w:tc>
      </w:tr>
      <w:tr w:rsidR="0074480A" w:rsidRPr="0034732C" w14:paraId="6542DAA5" w14:textId="77777777" w:rsidTr="006C46DD">
        <w:trPr>
          <w:trHeight w:val="588"/>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42ABD1B7" w14:textId="77777777"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lastRenderedPageBreak/>
              <w:t>2</w:t>
            </w:r>
          </w:p>
        </w:tc>
        <w:tc>
          <w:tcPr>
            <w:tcW w:w="945" w:type="dxa"/>
            <w:tcBorders>
              <w:top w:val="nil"/>
              <w:left w:val="nil"/>
              <w:bottom w:val="single" w:sz="4" w:space="0" w:color="auto"/>
              <w:right w:val="single" w:sz="4" w:space="0" w:color="auto"/>
            </w:tcBorders>
            <w:shd w:val="clear" w:color="auto" w:fill="auto"/>
            <w:vAlign w:val="center"/>
            <w:hideMark/>
          </w:tcPr>
          <w:p w14:paraId="54993F4F" w14:textId="4BCE7E25"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332 02</w:t>
            </w:r>
          </w:p>
        </w:tc>
        <w:tc>
          <w:tcPr>
            <w:tcW w:w="1255" w:type="dxa"/>
            <w:tcBorders>
              <w:top w:val="nil"/>
              <w:left w:val="nil"/>
              <w:bottom w:val="single" w:sz="4" w:space="0" w:color="auto"/>
              <w:right w:val="single" w:sz="4" w:space="0" w:color="auto"/>
            </w:tcBorders>
            <w:shd w:val="clear" w:color="auto" w:fill="auto"/>
            <w:vAlign w:val="center"/>
            <w:hideMark/>
          </w:tcPr>
          <w:p w14:paraId="161E8DC6" w14:textId="187A5DB7"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Račianske mýto</w:t>
            </w:r>
          </w:p>
        </w:tc>
        <w:tc>
          <w:tcPr>
            <w:tcW w:w="837" w:type="dxa"/>
            <w:tcBorders>
              <w:top w:val="nil"/>
              <w:left w:val="nil"/>
              <w:bottom w:val="single" w:sz="4" w:space="0" w:color="auto"/>
              <w:right w:val="single" w:sz="4" w:space="0" w:color="auto"/>
            </w:tcBorders>
            <w:shd w:val="clear" w:color="auto" w:fill="auto"/>
            <w:vAlign w:val="center"/>
            <w:hideMark/>
          </w:tcPr>
          <w:p w14:paraId="2D3190C4" w14:textId="77777777"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Nové Mesto</w:t>
            </w:r>
          </w:p>
        </w:tc>
        <w:tc>
          <w:tcPr>
            <w:tcW w:w="1060" w:type="dxa"/>
            <w:tcBorders>
              <w:top w:val="nil"/>
              <w:left w:val="nil"/>
              <w:bottom w:val="single" w:sz="4" w:space="0" w:color="auto"/>
              <w:right w:val="single" w:sz="4" w:space="0" w:color="auto"/>
            </w:tcBorders>
            <w:shd w:val="clear" w:color="auto" w:fill="auto"/>
            <w:vAlign w:val="center"/>
            <w:hideMark/>
          </w:tcPr>
          <w:p w14:paraId="618B6CA5" w14:textId="2DC141AC"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Pionierska</w:t>
            </w:r>
          </w:p>
        </w:tc>
        <w:tc>
          <w:tcPr>
            <w:tcW w:w="697" w:type="dxa"/>
            <w:tcBorders>
              <w:top w:val="nil"/>
              <w:left w:val="nil"/>
              <w:bottom w:val="single" w:sz="4" w:space="0" w:color="auto"/>
              <w:right w:val="single" w:sz="4" w:space="0" w:color="auto"/>
            </w:tcBorders>
            <w:shd w:val="clear" w:color="auto" w:fill="auto"/>
            <w:vAlign w:val="center"/>
            <w:hideMark/>
          </w:tcPr>
          <w:p w14:paraId="3CD3CDAF" w14:textId="166DDCE4"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Rača</w:t>
            </w:r>
          </w:p>
        </w:tc>
        <w:tc>
          <w:tcPr>
            <w:tcW w:w="1094" w:type="dxa"/>
            <w:tcBorders>
              <w:top w:val="nil"/>
              <w:left w:val="nil"/>
              <w:bottom w:val="single" w:sz="4" w:space="0" w:color="auto"/>
              <w:right w:val="single" w:sz="4" w:space="0" w:color="auto"/>
            </w:tcBorders>
            <w:shd w:val="clear" w:color="auto" w:fill="auto"/>
            <w:vAlign w:val="center"/>
            <w:hideMark/>
          </w:tcPr>
          <w:p w14:paraId="248680F4" w14:textId="2B127367" w:rsidR="006C46DD" w:rsidRPr="00C268BD" w:rsidRDefault="00914A9F" w:rsidP="006C46DD">
            <w:pPr>
              <w:jc w:val="center"/>
              <w:rPr>
                <w:rFonts w:cs="Calibri"/>
                <w:noProof w:val="0"/>
                <w:color w:val="000000" w:themeColor="text1"/>
                <w:sz w:val="22"/>
                <w:szCs w:val="22"/>
              </w:rPr>
            </w:pPr>
            <w:r>
              <w:rPr>
                <w:rFonts w:cs="Calibri"/>
                <w:noProof w:val="0"/>
                <w:color w:val="000000" w:themeColor="text1"/>
                <w:sz w:val="22"/>
                <w:szCs w:val="22"/>
              </w:rPr>
              <w:t>8</w:t>
            </w:r>
            <w:r w:rsidR="006C46DD" w:rsidRPr="00C268BD">
              <w:rPr>
                <w:rFonts w:cs="Calibri"/>
                <w:noProof w:val="0"/>
                <w:color w:val="000000" w:themeColor="text1"/>
                <w:sz w:val="22"/>
                <w:szCs w:val="22"/>
              </w:rPr>
              <w:t xml:space="preserve"> m</w:t>
            </w:r>
          </w:p>
        </w:tc>
        <w:tc>
          <w:tcPr>
            <w:tcW w:w="849" w:type="dxa"/>
            <w:tcBorders>
              <w:top w:val="nil"/>
              <w:left w:val="nil"/>
              <w:bottom w:val="single" w:sz="4" w:space="0" w:color="auto"/>
              <w:right w:val="single" w:sz="4" w:space="0" w:color="auto"/>
            </w:tcBorders>
            <w:shd w:val="clear" w:color="auto" w:fill="auto"/>
            <w:vAlign w:val="center"/>
            <w:hideMark/>
          </w:tcPr>
          <w:p w14:paraId="570DC3F7" w14:textId="1B27442B"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1.8</w:t>
            </w:r>
            <w:r w:rsidR="004E1130">
              <w:rPr>
                <w:rFonts w:cs="Calibri"/>
                <w:noProof w:val="0"/>
                <w:color w:val="000000" w:themeColor="text1"/>
                <w:sz w:val="22"/>
                <w:szCs w:val="22"/>
              </w:rPr>
              <w:t xml:space="preserve"> m</w:t>
            </w:r>
          </w:p>
        </w:tc>
        <w:tc>
          <w:tcPr>
            <w:tcW w:w="899" w:type="dxa"/>
            <w:tcBorders>
              <w:top w:val="nil"/>
              <w:left w:val="nil"/>
              <w:bottom w:val="single" w:sz="4" w:space="0" w:color="auto"/>
              <w:right w:val="single" w:sz="4" w:space="0" w:color="auto"/>
            </w:tcBorders>
            <w:shd w:val="clear" w:color="auto" w:fill="auto"/>
            <w:vAlign w:val="center"/>
            <w:hideMark/>
          </w:tcPr>
          <w:p w14:paraId="4623C4D4" w14:textId="269C9B02" w:rsidR="006C46DD" w:rsidRPr="00C268BD" w:rsidRDefault="006C46DD" w:rsidP="006C46DD">
            <w:pPr>
              <w:jc w:val="center"/>
              <w:rPr>
                <w:rFonts w:cs="Calibri"/>
                <w:noProof w:val="0"/>
                <w:color w:val="000000" w:themeColor="text1"/>
                <w:sz w:val="22"/>
                <w:szCs w:val="22"/>
              </w:rPr>
            </w:pPr>
            <w:r w:rsidRPr="00C268BD">
              <w:rPr>
                <w:rFonts w:cs="Calibri"/>
                <w:noProof w:val="0"/>
                <w:color w:val="000000" w:themeColor="text1"/>
                <w:sz w:val="22"/>
                <w:szCs w:val="22"/>
              </w:rPr>
              <w:t>1.0</w:t>
            </w:r>
            <w:r w:rsidR="004E1130">
              <w:rPr>
                <w:rFonts w:cs="Calibri"/>
                <w:noProof w:val="0"/>
                <w:color w:val="000000" w:themeColor="text1"/>
                <w:sz w:val="22"/>
                <w:szCs w:val="22"/>
              </w:rPr>
              <w:t xml:space="preserve"> m</w:t>
            </w:r>
          </w:p>
        </w:tc>
      </w:tr>
    </w:tbl>
    <w:p w14:paraId="405B68BB" w14:textId="77777777" w:rsidR="006C46DD" w:rsidRPr="00BB75E4" w:rsidRDefault="006C46DD" w:rsidP="006C46DD">
      <w:pPr>
        <w:autoSpaceDE w:val="0"/>
        <w:autoSpaceDN w:val="0"/>
        <w:adjustRightInd w:val="0"/>
        <w:spacing w:line="276" w:lineRule="auto"/>
        <w:ind w:left="567"/>
        <w:jc w:val="both"/>
        <w:rPr>
          <w:rFonts w:cstheme="minorHAnsi"/>
          <w:sz w:val="22"/>
          <w:szCs w:val="22"/>
        </w:rPr>
      </w:pPr>
    </w:p>
    <w:p w14:paraId="0DCDA647" w14:textId="6B6FBC5C"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Oceľová konštrukcia:</w:t>
      </w:r>
    </w:p>
    <w:p w14:paraId="2570AB31" w14:textId="77777777" w:rsidR="006C46DD" w:rsidRPr="00BB75E4" w:rsidRDefault="006C46DD" w:rsidP="006C46DD">
      <w:pPr>
        <w:ind w:left="567"/>
        <w:jc w:val="both"/>
        <w:rPr>
          <w:rFonts w:cstheme="minorHAnsi"/>
          <w:sz w:val="22"/>
          <w:szCs w:val="22"/>
        </w:rPr>
      </w:pPr>
      <w:r w:rsidRPr="00BB75E4">
        <w:rPr>
          <w:rFonts w:cstheme="minorHAnsi"/>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6E642F85" w14:textId="77777777" w:rsidR="006C46DD" w:rsidRPr="00BB75E4" w:rsidRDefault="006C46DD" w:rsidP="006C46DD">
      <w:pPr>
        <w:ind w:left="567"/>
        <w:jc w:val="both"/>
        <w:rPr>
          <w:rFonts w:cstheme="minorHAnsi"/>
          <w:sz w:val="22"/>
          <w:szCs w:val="22"/>
        </w:rPr>
      </w:pPr>
      <w:r w:rsidRPr="00BB75E4">
        <w:rPr>
          <w:rFonts w:cstheme="minorHAnsi"/>
          <w:sz w:val="22"/>
          <w:szCs w:val="22"/>
        </w:rPr>
        <w:t>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antigrafitová úprava.</w:t>
      </w:r>
    </w:p>
    <w:p w14:paraId="147FEE6A" w14:textId="77777777" w:rsidR="006C46DD" w:rsidRPr="00BB75E4" w:rsidRDefault="006C46DD" w:rsidP="006C46DD">
      <w:pPr>
        <w:ind w:left="567"/>
        <w:jc w:val="both"/>
        <w:rPr>
          <w:rFonts w:cstheme="minorHAnsi"/>
          <w:sz w:val="22"/>
          <w:szCs w:val="22"/>
        </w:rPr>
      </w:pPr>
      <w:r w:rsidRPr="00BB75E4">
        <w:rPr>
          <w:rFonts w:cstheme="minorHAnsi"/>
          <w:sz w:val="22"/>
          <w:szCs w:val="22"/>
        </w:rPr>
        <w:t>Farebný odtieň vrchného náteru mobiliáru na zastávkach viď obr. 2.1.</w:t>
      </w:r>
      <w:r w:rsidRPr="00BB75E4">
        <w:rPr>
          <w:rFonts w:cstheme="minorHAnsi"/>
          <w:sz w:val="22"/>
          <w:szCs w:val="22"/>
        </w:rPr>
        <w:tab/>
      </w:r>
    </w:p>
    <w:p w14:paraId="0AEA1DF8" w14:textId="77777777" w:rsidR="006C46DD" w:rsidRPr="00BB75E4" w:rsidRDefault="006C46DD" w:rsidP="006C46DD">
      <w:pPr>
        <w:ind w:left="567"/>
        <w:jc w:val="both"/>
        <w:rPr>
          <w:rFonts w:cstheme="minorHAnsi"/>
          <w:sz w:val="22"/>
          <w:szCs w:val="22"/>
        </w:rPr>
      </w:pPr>
    </w:p>
    <w:p w14:paraId="528C752E" w14:textId="77777777" w:rsidR="006C46DD" w:rsidRPr="00BB75E4" w:rsidRDefault="006C46DD" w:rsidP="00914A9F">
      <w:pPr>
        <w:ind w:firstLine="567"/>
        <w:jc w:val="center"/>
        <w:rPr>
          <w:rFonts w:cstheme="minorHAnsi"/>
          <w:sz w:val="22"/>
          <w:szCs w:val="22"/>
        </w:rPr>
      </w:pPr>
      <w:r w:rsidRPr="00BB75E4">
        <w:rPr>
          <w:rFonts w:cstheme="minorHAnsi"/>
          <w:sz w:val="22"/>
          <w:szCs w:val="22"/>
        </w:rPr>
        <w:drawing>
          <wp:inline distT="0" distB="0" distL="0" distR="0" wp14:anchorId="1837B6E1" wp14:editId="2C6FA1B8">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7178477D" w14:textId="77777777" w:rsidR="006C46DD" w:rsidRPr="00BB75E4" w:rsidRDefault="006C46DD" w:rsidP="00914A9F">
      <w:pPr>
        <w:pStyle w:val="Odsekzoznamu"/>
        <w:spacing w:after="0" w:line="300" w:lineRule="auto"/>
        <w:ind w:left="2844" w:firstLine="696"/>
        <w:jc w:val="both"/>
        <w:rPr>
          <w:rFonts w:ascii="Garamond" w:hAnsi="Garamond" w:cstheme="minorHAnsi"/>
          <w:i/>
          <w:iCs/>
        </w:rPr>
      </w:pPr>
      <w:r w:rsidRPr="00BB75E4">
        <w:rPr>
          <w:rFonts w:ascii="Garamond" w:hAnsi="Garamond" w:cstheme="minorHAnsi"/>
          <w:i/>
          <w:iCs/>
        </w:rPr>
        <w:t>Obr. 2.1. antracitovo šedá RAL 7016</w:t>
      </w:r>
    </w:p>
    <w:p w14:paraId="2E5B8830" w14:textId="77777777" w:rsidR="006C46DD" w:rsidRPr="00BB75E4" w:rsidRDefault="006C46DD" w:rsidP="006C46DD">
      <w:pPr>
        <w:jc w:val="both"/>
        <w:rPr>
          <w:rFonts w:cstheme="minorHAnsi"/>
          <w:b/>
          <w:bCs/>
          <w:sz w:val="22"/>
          <w:szCs w:val="22"/>
        </w:rPr>
      </w:pPr>
    </w:p>
    <w:p w14:paraId="088463FF"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Obvodové steny:</w:t>
      </w:r>
    </w:p>
    <w:p w14:paraId="59FCD6D9" w14:textId="708ACF67" w:rsidR="006C46DD" w:rsidRPr="00BB75E4" w:rsidRDefault="006C46DD" w:rsidP="006C46DD">
      <w:pPr>
        <w:ind w:left="567"/>
        <w:jc w:val="both"/>
        <w:rPr>
          <w:rFonts w:cstheme="minorHAnsi"/>
          <w:sz w:val="22"/>
          <w:szCs w:val="22"/>
        </w:rPr>
      </w:pPr>
      <w:r w:rsidRPr="00BB75E4">
        <w:rPr>
          <w:rFonts w:cstheme="minorHAnsi"/>
          <w:sz w:val="22"/>
          <w:szCs w:val="22"/>
        </w:rPr>
        <w:t xml:space="preserve">Obvodové steny prístrešku chránia čakajúcich voči nepriazni počasia, z hľadiska bezpečnosti, sociálnej kontroly, možnosti priehľadov sledovanie okolitej situácie sa vyhotovujú z transparentného skla. </w:t>
      </w:r>
      <w:r w:rsidR="00914A9F">
        <w:rPr>
          <w:rFonts w:cstheme="minorHAnsi"/>
          <w:sz w:val="22"/>
          <w:szCs w:val="22"/>
        </w:rPr>
        <w:t>B</w:t>
      </w:r>
      <w:r w:rsidR="00914A9F" w:rsidRPr="00BB75E4">
        <w:rPr>
          <w:rFonts w:cstheme="minorHAnsi"/>
          <w:sz w:val="22"/>
          <w:szCs w:val="22"/>
        </w:rPr>
        <w:t xml:space="preserve">očné presklené steny </w:t>
      </w:r>
      <w:r w:rsidR="00914A9F">
        <w:rPr>
          <w:rFonts w:cstheme="minorHAnsi"/>
          <w:sz w:val="22"/>
          <w:szCs w:val="22"/>
        </w:rPr>
        <w:t xml:space="preserve">požadujeme </w:t>
      </w:r>
      <w:r w:rsidR="00914A9F" w:rsidRPr="00BB75E4">
        <w:rPr>
          <w:rFonts w:cstheme="minorHAnsi"/>
          <w:sz w:val="22"/>
          <w:szCs w:val="22"/>
        </w:rPr>
        <w:t>uchytené na ráme prístrešku bez ďalšej opory spodnej časti bočnice do podkladu.</w:t>
      </w:r>
      <w:r w:rsidR="00914A9F">
        <w:rPr>
          <w:rFonts w:cstheme="minorHAnsi"/>
          <w:sz w:val="22"/>
          <w:szCs w:val="22"/>
        </w:rPr>
        <w:t xml:space="preserve"> </w:t>
      </w:r>
      <w:r w:rsidRPr="00BB75E4">
        <w:rPr>
          <w:rFonts w:cstheme="minorHAnsi"/>
          <w:sz w:val="22"/>
          <w:szCs w:val="22"/>
        </w:rPr>
        <w:t xml:space="preserve">Sklenenú výplň je vhodné členiť na segmenty z dôvodu jednoduchej vymeniteľnosti v rámci opravy poškodeného skla. Segmenty by mali byť členené pozdĺž celej výšky prístrešku. 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53CB18EC" w14:textId="77777777" w:rsidR="006C46DD" w:rsidRPr="00BB75E4" w:rsidRDefault="006C46DD" w:rsidP="006C46DD">
      <w:pPr>
        <w:ind w:left="567"/>
        <w:jc w:val="both"/>
        <w:rPr>
          <w:rFonts w:cstheme="minorHAnsi"/>
          <w:sz w:val="22"/>
          <w:szCs w:val="22"/>
        </w:rPr>
      </w:pPr>
      <w:r w:rsidRPr="00BB75E4">
        <w:rPr>
          <w:rFonts w:cstheme="minorHAnsi"/>
          <w:sz w:val="22"/>
          <w:szCs w:val="22"/>
        </w:rPr>
        <w:t xml:space="preserve">Všetky steny prístrešku požadujeme priehľadné. Sklo obvodových stien bude z kaleného skla, hrúbky min. 6 mm </w:t>
      </w:r>
    </w:p>
    <w:p w14:paraId="31880AA0" w14:textId="77777777" w:rsidR="006C46DD" w:rsidRPr="00BB75E4" w:rsidRDefault="006C46DD" w:rsidP="006C46DD">
      <w:pPr>
        <w:ind w:left="567"/>
        <w:jc w:val="both"/>
        <w:rPr>
          <w:rFonts w:cstheme="minorHAnsi"/>
          <w:sz w:val="22"/>
          <w:szCs w:val="22"/>
        </w:rPr>
      </w:pPr>
      <w:r w:rsidRPr="00BB75E4">
        <w:rPr>
          <w:rFonts w:cstheme="minorHAnsi"/>
          <w:sz w:val="22"/>
          <w:szCs w:val="22"/>
        </w:rPr>
        <w:t xml:space="preserve">Obvodové steny musia byť opatrené dvojfarebnou sieťotlačou (biela RAL 9003, červená RAL 3020) – do 60 % plochy so štruktúrovaním sieťotlače podľa požiadavky objednávateľa. </w:t>
      </w:r>
    </w:p>
    <w:p w14:paraId="346780D2" w14:textId="77777777" w:rsidR="006C46DD" w:rsidRDefault="006C46DD" w:rsidP="006C46DD">
      <w:pPr>
        <w:ind w:left="567"/>
        <w:jc w:val="both"/>
        <w:rPr>
          <w:rFonts w:cstheme="minorHAnsi"/>
          <w:sz w:val="22"/>
          <w:szCs w:val="22"/>
        </w:rPr>
      </w:pPr>
    </w:p>
    <w:p w14:paraId="01C5DAAD" w14:textId="77777777" w:rsidR="006C46DD" w:rsidRPr="00BB75E4" w:rsidRDefault="006C46DD" w:rsidP="006C46DD">
      <w:pPr>
        <w:ind w:left="567"/>
        <w:jc w:val="both"/>
        <w:rPr>
          <w:rFonts w:cstheme="minorHAnsi"/>
          <w:sz w:val="22"/>
          <w:szCs w:val="22"/>
        </w:rPr>
      </w:pPr>
    </w:p>
    <w:p w14:paraId="1E62BEEB"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Strecha:</w:t>
      </w:r>
    </w:p>
    <w:p w14:paraId="4D430D52" w14:textId="77777777" w:rsidR="006C46DD" w:rsidRDefault="006C46DD" w:rsidP="006C46DD">
      <w:pPr>
        <w:ind w:left="567"/>
        <w:jc w:val="both"/>
        <w:rPr>
          <w:rFonts w:cstheme="minorHAnsi"/>
          <w:sz w:val="22"/>
          <w:szCs w:val="22"/>
        </w:rPr>
      </w:pPr>
      <w:r w:rsidRPr="00BB75E4">
        <w:rPr>
          <w:rFonts w:cstheme="minorHAnsi"/>
          <w:sz w:val="22"/>
          <w:szCs w:val="22"/>
        </w:rPr>
        <w:t>Jedná sa o pultovú strechu so sklonom do 10 stupňov. Nosnú konštrukciu strechy tvoria oceľové profily. Ako strešná krytina bude použité lepené bezpečnostné sklo so zalaminovanými fotovoltaickými panelmi, prípadne doplnenými fóliou, tak aby bol v maximálnej možnej miere zabezpečený odraz tepelnej zložky žiarenia a zabezpečený tepelný komfort v prístrešku. Vrstva stropného panelu bude farebného odtieňu RAL 7016, viď. obr. 2.1.</w:t>
      </w:r>
    </w:p>
    <w:p w14:paraId="2062EC5E" w14:textId="77777777" w:rsidR="006C46DD" w:rsidRPr="00BB75E4" w:rsidRDefault="006C46DD" w:rsidP="006C46DD">
      <w:pPr>
        <w:ind w:left="567"/>
        <w:jc w:val="both"/>
        <w:rPr>
          <w:rFonts w:cstheme="minorHAnsi"/>
          <w:sz w:val="22"/>
          <w:szCs w:val="22"/>
        </w:rPr>
      </w:pPr>
    </w:p>
    <w:p w14:paraId="0E128301"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Odvodnenie strechy prístrešku:</w:t>
      </w:r>
    </w:p>
    <w:p w14:paraId="77388152" w14:textId="77777777" w:rsidR="006C46DD" w:rsidRDefault="006C46DD" w:rsidP="006C46DD">
      <w:pPr>
        <w:ind w:left="567"/>
        <w:jc w:val="both"/>
        <w:rPr>
          <w:rFonts w:cstheme="minorHAnsi"/>
          <w:sz w:val="22"/>
          <w:szCs w:val="22"/>
        </w:rPr>
      </w:pPr>
      <w:r w:rsidRPr="00BB75E4">
        <w:rPr>
          <w:rFonts w:cstheme="minorHAnsi"/>
          <w:sz w:val="22"/>
          <w:szCs w:val="22"/>
        </w:rPr>
        <w:t xml:space="preserve">Odvodnenie strechy prístrešku bude odkvapkávaním z okraja strechy. </w:t>
      </w:r>
    </w:p>
    <w:p w14:paraId="4DC61D53" w14:textId="77777777" w:rsidR="006C46DD" w:rsidRPr="00BB75E4" w:rsidRDefault="006C46DD" w:rsidP="006C46DD">
      <w:pPr>
        <w:ind w:left="567"/>
        <w:jc w:val="both"/>
        <w:rPr>
          <w:rFonts w:cstheme="minorHAnsi"/>
          <w:sz w:val="22"/>
          <w:szCs w:val="22"/>
        </w:rPr>
      </w:pPr>
    </w:p>
    <w:p w14:paraId="445FE0C7"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Kotvenie stojok prístrešku:</w:t>
      </w:r>
    </w:p>
    <w:p w14:paraId="2D3F1427" w14:textId="184393CA" w:rsidR="006C46DD" w:rsidRDefault="006C46DD" w:rsidP="006C46DD">
      <w:pPr>
        <w:ind w:left="567"/>
        <w:jc w:val="both"/>
        <w:rPr>
          <w:rFonts w:cstheme="minorHAnsi"/>
          <w:sz w:val="22"/>
          <w:szCs w:val="22"/>
        </w:rPr>
      </w:pPr>
      <w:r w:rsidRPr="00BB75E4">
        <w:rPr>
          <w:rFonts w:cstheme="minorHAnsi"/>
          <w:sz w:val="22"/>
          <w:szCs w:val="22"/>
        </w:rPr>
        <w:t>Kotvenie stojok bude  do betónového základu pomocou kotevných skrutiek v súlade s požiadavkami výrobcu. Kotevným materiálom bude antikorová oceľ, pričom kotvenie bude súčasťou dodávky prístrešku.</w:t>
      </w:r>
    </w:p>
    <w:p w14:paraId="67F4D82F" w14:textId="77777777" w:rsidR="006C46DD" w:rsidRPr="00BB75E4" w:rsidRDefault="006C46DD" w:rsidP="006C46DD">
      <w:pPr>
        <w:ind w:left="567"/>
        <w:jc w:val="both"/>
        <w:rPr>
          <w:rFonts w:cstheme="minorHAnsi"/>
          <w:sz w:val="22"/>
          <w:szCs w:val="22"/>
        </w:rPr>
      </w:pPr>
    </w:p>
    <w:p w14:paraId="37166FDF"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 xml:space="preserve">Lavičky: </w:t>
      </w:r>
    </w:p>
    <w:p w14:paraId="72CE8DF5" w14:textId="1DD190C7" w:rsidR="006C46DD" w:rsidRPr="00BB75E4" w:rsidRDefault="006C46DD" w:rsidP="006C46DD">
      <w:pPr>
        <w:ind w:left="567"/>
        <w:jc w:val="both"/>
        <w:rPr>
          <w:rFonts w:cstheme="minorHAnsi"/>
          <w:sz w:val="22"/>
          <w:szCs w:val="22"/>
        </w:rPr>
      </w:pPr>
      <w:r w:rsidRPr="00BB75E4">
        <w:rPr>
          <w:rFonts w:cstheme="minorHAnsi"/>
          <w:sz w:val="22"/>
          <w:szCs w:val="22"/>
        </w:rPr>
        <w:lastRenderedPageBreak/>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Pri 8 m dlhom prístrešku požadujeme 2ks lavičiek, pričom celkový súčet dĺžok lavičiek bude rovný min. </w:t>
      </w:r>
      <w:r>
        <w:rPr>
          <w:rFonts w:cstheme="minorHAnsi"/>
          <w:sz w:val="22"/>
          <w:szCs w:val="22"/>
        </w:rPr>
        <w:t>1/3</w:t>
      </w:r>
      <w:r w:rsidRPr="00BB75E4">
        <w:rPr>
          <w:rFonts w:cstheme="minorHAnsi"/>
          <w:sz w:val="22"/>
          <w:szCs w:val="22"/>
        </w:rPr>
        <w:t xml:space="preserve"> dĺžke prístrešku. Predná hrana sedacej časti musí byť zaoblená. Lavička musí mať domontovateľné priečne deliče sedacej časti, tak aby sa zabránilo nežiaducemu ležaniu </w:t>
      </w:r>
      <w:r w:rsidR="00914A9F">
        <w:rPr>
          <w:rFonts w:cstheme="minorHAnsi"/>
          <w:sz w:val="22"/>
          <w:szCs w:val="22"/>
        </w:rPr>
        <w:t xml:space="preserve">osôb </w:t>
      </w:r>
      <w:r w:rsidRPr="00BB75E4">
        <w:rPr>
          <w:rFonts w:cstheme="minorHAnsi"/>
          <w:sz w:val="22"/>
          <w:szCs w:val="22"/>
        </w:rPr>
        <w:t xml:space="preserve">na lavičkách. Požadujeme aby deliče boli súčasťou </w:t>
      </w:r>
      <w:r>
        <w:rPr>
          <w:rFonts w:cstheme="minorHAnsi"/>
          <w:sz w:val="22"/>
          <w:szCs w:val="22"/>
        </w:rPr>
        <w:t>dodávky, pričom ich inštalácia bude voliteľná</w:t>
      </w:r>
      <w:r w:rsidRPr="00BB75E4">
        <w:rPr>
          <w:rFonts w:cstheme="minorHAnsi"/>
          <w:sz w:val="22"/>
          <w:szCs w:val="22"/>
        </w:rPr>
        <w:t>.</w:t>
      </w:r>
    </w:p>
    <w:p w14:paraId="7928E8EF" w14:textId="77777777" w:rsidR="006C46DD" w:rsidRDefault="006C46DD" w:rsidP="006C46DD">
      <w:pPr>
        <w:ind w:left="567"/>
        <w:jc w:val="both"/>
        <w:rPr>
          <w:rFonts w:cstheme="minorHAnsi"/>
          <w:sz w:val="22"/>
          <w:szCs w:val="22"/>
        </w:rPr>
      </w:pPr>
      <w:r w:rsidRPr="00BB75E4">
        <w:rPr>
          <w:rFonts w:cstheme="minorHAnsi"/>
          <w:sz w:val="22"/>
          <w:szCs w:val="22"/>
        </w:rPr>
        <w:t>Ako materiál sedacej časti požadujeme preferovať agátové drevo bez povrchovej úpravy – odolné drevo z lokálnych zdrojov (prípadne exotické dreviny bez povrchovej úpravy). Menej vhodné z ekologického hľadiska, ale prípustné, sú plasty a kompozitné materiály. Neprípustné sú kovové materiály. Konštrukčné detaily nosnej časti konštrukcie lavičky sú prípustné z kovu v odtieni RAL 7016 antracitová šedá.</w:t>
      </w:r>
    </w:p>
    <w:p w14:paraId="317D1F9F" w14:textId="77777777" w:rsidR="006C46DD" w:rsidRPr="00BB75E4" w:rsidRDefault="006C46DD" w:rsidP="006C46DD">
      <w:pPr>
        <w:ind w:left="567"/>
        <w:jc w:val="both"/>
        <w:rPr>
          <w:rFonts w:cstheme="minorHAnsi"/>
          <w:sz w:val="22"/>
          <w:szCs w:val="22"/>
        </w:rPr>
      </w:pPr>
    </w:p>
    <w:p w14:paraId="2832E7E9"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Vitrína:</w:t>
      </w:r>
    </w:p>
    <w:p w14:paraId="43F7A49E" w14:textId="77777777" w:rsidR="006C46DD" w:rsidRPr="00BB75E4" w:rsidRDefault="006C46DD" w:rsidP="006C46DD">
      <w:pPr>
        <w:ind w:left="567"/>
        <w:jc w:val="both"/>
        <w:rPr>
          <w:rFonts w:cstheme="minorHAnsi"/>
          <w:sz w:val="22"/>
          <w:szCs w:val="22"/>
        </w:rPr>
      </w:pPr>
      <w:r w:rsidRPr="00BB75E4">
        <w:rPr>
          <w:rFonts w:cstheme="minorHAnsi"/>
          <w:sz w:val="22"/>
          <w:szCs w:val="22"/>
        </w:rPr>
        <w:t>Do výplne zadnej steny bude inštalovaný nosič cestovného poriadku vo forme vitríny</w:t>
      </w:r>
      <w:r>
        <w:rPr>
          <w:rFonts w:cstheme="minorHAnsi"/>
          <w:sz w:val="22"/>
          <w:szCs w:val="22"/>
        </w:rPr>
        <w:t>, ktorej zadná stena bude magnetická</w:t>
      </w:r>
      <w:r w:rsidRPr="00BB75E4">
        <w:rPr>
          <w:rFonts w:cstheme="minorHAnsi"/>
          <w:sz w:val="22"/>
          <w:szCs w:val="22"/>
        </w:rPr>
        <w:t>. Vitrína formátu A0</w:t>
      </w:r>
      <w:r>
        <w:rPr>
          <w:rFonts w:cstheme="minorHAnsi"/>
          <w:sz w:val="22"/>
          <w:szCs w:val="22"/>
        </w:rPr>
        <w:t xml:space="preserve"> (viditeľnej plohy </w:t>
      </w:r>
      <w:r w:rsidRPr="00BB75E4">
        <w:rPr>
          <w:rFonts w:cstheme="minorHAnsi"/>
          <w:sz w:val="22"/>
          <w:szCs w:val="22"/>
        </w:rPr>
        <w:t>na ležato) bude uzamykateľná jednotným, štandardne používaným univerzálnym kľúčom.</w:t>
      </w:r>
      <w:r>
        <w:rPr>
          <w:rFonts w:cstheme="minorHAnsi"/>
          <w:sz w:val="22"/>
          <w:szCs w:val="22"/>
        </w:rPr>
        <w:t xml:space="preserve"> Typ kľúča bude predmetom rokovania s vybraným dodávateľom.</w:t>
      </w:r>
    </w:p>
    <w:p w14:paraId="0E732C79" w14:textId="77777777" w:rsidR="006C46DD" w:rsidRDefault="006C46DD" w:rsidP="006C46DD">
      <w:pPr>
        <w:ind w:left="567"/>
        <w:jc w:val="both"/>
        <w:rPr>
          <w:rFonts w:cstheme="minorHAnsi"/>
          <w:sz w:val="22"/>
          <w:szCs w:val="22"/>
        </w:rPr>
      </w:pPr>
      <w:r w:rsidRPr="00BB75E4">
        <w:rPr>
          <w:rFonts w:cstheme="minorHAnsi"/>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w:t>
      </w:r>
      <w:r>
        <w:rPr>
          <w:rFonts w:cstheme="minorHAnsi"/>
          <w:sz w:val="22"/>
          <w:szCs w:val="22"/>
        </w:rPr>
        <w:t xml:space="preserve"> Vitrína nesmie byť umiestnená nad lavičkou. Jej spodná hrana bude 1100 mm nad úrovňou priľahlého chodníka.</w:t>
      </w:r>
    </w:p>
    <w:p w14:paraId="737DE716" w14:textId="77777777" w:rsidR="006C46DD" w:rsidRPr="00BB75E4" w:rsidRDefault="006C46DD" w:rsidP="006C46DD">
      <w:pPr>
        <w:ind w:left="567"/>
        <w:jc w:val="both"/>
        <w:rPr>
          <w:rFonts w:cstheme="minorHAnsi"/>
          <w:sz w:val="22"/>
          <w:szCs w:val="22"/>
        </w:rPr>
      </w:pPr>
    </w:p>
    <w:p w14:paraId="40171B9F"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Osvetlenie:</w:t>
      </w:r>
    </w:p>
    <w:p w14:paraId="518B7A81" w14:textId="77777777" w:rsidR="006C46DD" w:rsidRPr="00BB75E4" w:rsidRDefault="006C46DD" w:rsidP="006C46DD">
      <w:pPr>
        <w:ind w:left="567"/>
        <w:jc w:val="both"/>
        <w:rPr>
          <w:rFonts w:cstheme="minorHAnsi"/>
          <w:sz w:val="22"/>
          <w:szCs w:val="22"/>
        </w:rPr>
      </w:pPr>
      <w:r w:rsidRPr="00BB75E4">
        <w:rPr>
          <w:rFonts w:cstheme="minorHAnsi"/>
          <w:sz w:val="22"/>
          <w:szCs w:val="22"/>
        </w:rPr>
        <w:t xml:space="preserve">Prístrešky pre cestujúcich budú vybavený líniovým LED osvetlením pásom, ktorý bude integrovaný do konštrukcie prístrešku a vymeniteľný. Pásy budú napájané solárnymi kolektormi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w:t>
      </w:r>
    </w:p>
    <w:p w14:paraId="6EE7753C" w14:textId="0BABF0AC" w:rsidR="006C46DD" w:rsidRDefault="006C46DD" w:rsidP="006C46DD">
      <w:pPr>
        <w:ind w:left="567"/>
        <w:jc w:val="both"/>
        <w:rPr>
          <w:rFonts w:cstheme="minorHAnsi"/>
          <w:sz w:val="22"/>
          <w:szCs w:val="22"/>
        </w:rPr>
      </w:pPr>
      <w:r w:rsidRPr="00BB75E4">
        <w:rPr>
          <w:rFonts w:cstheme="minorHAnsi"/>
          <w:sz w:val="22"/>
          <w:szCs w:val="22"/>
        </w:rPr>
        <w:t>Konštrukcia prístrešku so sústavou osvetlenia solárnymi kolektormi bude tvoriť jeden celok s prístreškom. 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na prístreškoch po ich osadení. Solárny kolektor s akumulátorom budú napájať len samotné osvetlenie prístrešku. S podsvietením vitríny resp. s umiestnením podsvietenej reklamy sa neuvažuje.</w:t>
      </w:r>
      <w:r>
        <w:rPr>
          <w:rFonts w:cstheme="minorHAnsi"/>
          <w:sz w:val="22"/>
          <w:szCs w:val="22"/>
        </w:rPr>
        <w:t xml:space="preserve"> Systém musí umožňovať budúce napojenie do elektrickej siete</w:t>
      </w:r>
      <w:r w:rsidRPr="00161688">
        <w:rPr>
          <w:rFonts w:cstheme="minorHAnsi"/>
          <w:sz w:val="22"/>
          <w:szCs w:val="22"/>
        </w:rPr>
        <w:t>, s možnosťou čerpania</w:t>
      </w:r>
      <w:r>
        <w:rPr>
          <w:rFonts w:cstheme="minorHAnsi"/>
          <w:sz w:val="22"/>
          <w:szCs w:val="22"/>
        </w:rPr>
        <w:t xml:space="preserve"> elektrickej energie.</w:t>
      </w:r>
    </w:p>
    <w:p w14:paraId="40897EDA" w14:textId="77777777" w:rsidR="006C46DD" w:rsidRPr="00BB75E4" w:rsidRDefault="006C46DD" w:rsidP="006C46DD">
      <w:pPr>
        <w:ind w:left="567"/>
        <w:jc w:val="both"/>
        <w:rPr>
          <w:rFonts w:cstheme="minorHAnsi"/>
          <w:sz w:val="22"/>
          <w:szCs w:val="22"/>
        </w:rPr>
      </w:pPr>
    </w:p>
    <w:p w14:paraId="75D43501"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Ochranné opatrenie v zóne TV</w:t>
      </w:r>
    </w:p>
    <w:p w14:paraId="69024FF6" w14:textId="57651299" w:rsidR="006C46DD" w:rsidRDefault="006C46DD" w:rsidP="006C46DD">
      <w:pPr>
        <w:autoSpaceDE w:val="0"/>
        <w:autoSpaceDN w:val="0"/>
        <w:adjustRightInd w:val="0"/>
        <w:spacing w:line="276" w:lineRule="auto"/>
        <w:ind w:left="567"/>
        <w:jc w:val="both"/>
        <w:rPr>
          <w:rFonts w:cstheme="minorHAnsi"/>
          <w:sz w:val="22"/>
          <w:szCs w:val="22"/>
        </w:rPr>
      </w:pPr>
      <w:r w:rsidRPr="00BB75E4">
        <w:rPr>
          <w:rFonts w:cstheme="minorHAnsi"/>
          <w:sz w:val="22"/>
          <w:szCs w:val="22"/>
        </w:rPr>
        <w:t>Na prístreškoch umiestnených na električkových zastávkach a zastávkach s trolejbusovou dopravou v zóne troleja a pantografového zberača mus</w:t>
      </w:r>
      <w:r w:rsidR="009815B0">
        <w:rPr>
          <w:rFonts w:cstheme="minorHAnsi"/>
          <w:sz w:val="22"/>
          <w:szCs w:val="22"/>
        </w:rPr>
        <w:t>í byť predpríprava na</w:t>
      </w:r>
      <w:r w:rsidRPr="00BB75E4">
        <w:rPr>
          <w:rFonts w:cstheme="minorHAnsi"/>
          <w:sz w:val="22"/>
          <w:szCs w:val="22"/>
        </w:rPr>
        <w:t xml:space="preserve"> ochranné opatrenie v zóne TV. Ochranné opatrenia v zóne TV je určeným technickým zariadením (UTZ) v zmysle zákona o dráhach č.513/2009 § 16 a v zmysle vyhlášky 205/2010 MDPaT. Špecifikácia určeného technického zariadenia v zmysle vyhlášky 205/2010 prílohy č.1, časť 5, je E4a.</w:t>
      </w:r>
    </w:p>
    <w:p w14:paraId="18C28017" w14:textId="77777777" w:rsidR="006C46DD" w:rsidRPr="00BB75E4" w:rsidRDefault="006C46DD" w:rsidP="006C46DD">
      <w:pPr>
        <w:autoSpaceDE w:val="0"/>
        <w:autoSpaceDN w:val="0"/>
        <w:adjustRightInd w:val="0"/>
        <w:spacing w:line="276" w:lineRule="auto"/>
        <w:ind w:left="567"/>
        <w:jc w:val="both"/>
        <w:rPr>
          <w:rFonts w:cstheme="minorHAnsi"/>
          <w:sz w:val="22"/>
          <w:szCs w:val="22"/>
        </w:rPr>
      </w:pPr>
    </w:p>
    <w:p w14:paraId="78B89F29"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Technické údaje</w:t>
      </w:r>
      <w:r>
        <w:rPr>
          <w:rFonts w:ascii="Garamond" w:hAnsi="Garamond" w:cstheme="minorHAnsi"/>
          <w:b/>
          <w:bCs/>
        </w:rPr>
        <w:t xml:space="preserve"> električkovej trate</w:t>
      </w:r>
    </w:p>
    <w:p w14:paraId="5DBED98F" w14:textId="77777777" w:rsidR="006C46DD" w:rsidRPr="00BB75E4" w:rsidRDefault="006C46DD" w:rsidP="006C46DD">
      <w:pPr>
        <w:pStyle w:val="Zkladntext"/>
        <w:numPr>
          <w:ilvl w:val="0"/>
          <w:numId w:val="2"/>
        </w:numPr>
        <w:tabs>
          <w:tab w:val="clear" w:pos="360"/>
          <w:tab w:val="num" w:pos="851"/>
        </w:tabs>
        <w:spacing w:line="276" w:lineRule="auto"/>
        <w:ind w:left="851" w:hanging="284"/>
        <w:rPr>
          <w:rFonts w:ascii="Garamond" w:hAnsi="Garamond" w:cstheme="minorHAnsi"/>
          <w:sz w:val="22"/>
          <w:szCs w:val="22"/>
        </w:rPr>
      </w:pPr>
      <w:r w:rsidRPr="00BB75E4">
        <w:rPr>
          <w:rFonts w:ascii="Garamond" w:hAnsi="Garamond" w:cstheme="minorHAnsi"/>
          <w:sz w:val="22"/>
          <w:szCs w:val="22"/>
        </w:rPr>
        <w:t>Prúdová a napäťová sústava : 2 DC 600 V, + pól v trolejovom vodiči, - pol v koľaji</w:t>
      </w:r>
    </w:p>
    <w:p w14:paraId="7DAD31EA" w14:textId="77777777" w:rsidR="006C46DD" w:rsidRPr="00BB75E4" w:rsidRDefault="006C46DD" w:rsidP="006C46DD">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 xml:space="preserve">Ochrana pred dotykom v normálnej prevádzke (živé časti): </w:t>
      </w:r>
      <w:r w:rsidRPr="00BB75E4">
        <w:rPr>
          <w:rFonts w:ascii="Garamond" w:hAnsi="Garamond" w:cstheme="minorHAnsi"/>
          <w:sz w:val="22"/>
          <w:szCs w:val="22"/>
        </w:rPr>
        <w:tab/>
      </w:r>
    </w:p>
    <w:p w14:paraId="7860DE95" w14:textId="77777777" w:rsidR="006C46DD" w:rsidRPr="00BB75E4" w:rsidRDefault="006C46DD" w:rsidP="006C46DD">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ochrana vzdušnou vzdialenosťou čl.5.2</w:t>
      </w:r>
    </w:p>
    <w:p w14:paraId="3747EEA5" w14:textId="77777777" w:rsidR="006C46DD" w:rsidRPr="00BB75E4" w:rsidRDefault="006C46DD" w:rsidP="006C46DD">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33 2000-4-41/2007 izoláciou príloha A, kap.A.1, zábranami, krytmi pril. A kap.A.2</w:t>
      </w:r>
    </w:p>
    <w:p w14:paraId="5D9AF4CD" w14:textId="77777777" w:rsidR="006C46DD" w:rsidRPr="00BB75E4" w:rsidRDefault="006C46DD" w:rsidP="006C46DD">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lastRenderedPageBreak/>
        <w:t xml:space="preserve"> Ochrana pred dotykom pri poruche (neživé časti): </w:t>
      </w:r>
    </w:p>
    <w:p w14:paraId="1CAE338B" w14:textId="77777777" w:rsidR="006C46DD" w:rsidRPr="00BB75E4" w:rsidRDefault="006C46DD" w:rsidP="006C46DD">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dvojitá izolácia vrchného trolejového vedenia čl.6.2.3.2</w:t>
      </w:r>
    </w:p>
    <w:p w14:paraId="61FC1185" w14:textId="77777777" w:rsidR="006C46DD" w:rsidRPr="00BB75E4" w:rsidRDefault="006C46DD" w:rsidP="006C46DD">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 xml:space="preserve">Pre napájacie body (stožiare), na ktorých sú umiestnené bleskoistky: </w:t>
      </w:r>
    </w:p>
    <w:p w14:paraId="1E38F3BC" w14:textId="77777777" w:rsidR="006C46DD" w:rsidRPr="00BB75E4" w:rsidRDefault="006C46DD" w:rsidP="006C46DD">
      <w:pPr>
        <w:pStyle w:val="Zkladntext"/>
        <w:tabs>
          <w:tab w:val="num" w:pos="851"/>
        </w:tabs>
        <w:spacing w:line="276" w:lineRule="auto"/>
        <w:ind w:left="851"/>
        <w:rPr>
          <w:rFonts w:ascii="Garamond" w:hAnsi="Garamond" w:cstheme="minorHAnsi"/>
          <w:sz w:val="22"/>
          <w:szCs w:val="22"/>
        </w:rPr>
      </w:pPr>
      <w:r w:rsidRPr="00BB75E4">
        <w:rPr>
          <w:rFonts w:ascii="Garamond" w:hAnsi="Garamond" w:cstheme="minorHAnsi"/>
          <w:sz w:val="22"/>
          <w:szCs w:val="22"/>
        </w:rPr>
        <w:t>STN EN 50122-1/2011 čl.6.2.2.1 + prístroje na obmedzenie napätia príloha F - časť F.2</w:t>
      </w:r>
    </w:p>
    <w:p w14:paraId="09EB33AA" w14:textId="77777777" w:rsidR="006C46DD" w:rsidRPr="00BB75E4" w:rsidRDefault="006C46DD" w:rsidP="006C46DD">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Novo vybudované káblové a uzemňovacie vedenie: CHBU 50 mm</w:t>
      </w:r>
      <w:r w:rsidRPr="00BB75E4">
        <w:rPr>
          <w:rFonts w:ascii="Garamond" w:hAnsi="Garamond" w:cstheme="minorHAnsi"/>
          <w:sz w:val="22"/>
          <w:szCs w:val="22"/>
          <w:vertAlign w:val="superscript"/>
        </w:rPr>
        <w:t>2</w:t>
      </w:r>
      <w:r w:rsidRPr="00BB75E4">
        <w:rPr>
          <w:rFonts w:ascii="Garamond" w:hAnsi="Garamond" w:cstheme="minorHAnsi"/>
          <w:sz w:val="22"/>
          <w:szCs w:val="22"/>
        </w:rPr>
        <w:t>, FeZn Ø10 mm</w:t>
      </w:r>
    </w:p>
    <w:p w14:paraId="1F29B55C" w14:textId="77777777" w:rsidR="006C46DD" w:rsidRPr="00BB75E4" w:rsidRDefault="006C46DD" w:rsidP="006C46DD">
      <w:pPr>
        <w:numPr>
          <w:ilvl w:val="0"/>
          <w:numId w:val="2"/>
        </w:numPr>
        <w:tabs>
          <w:tab w:val="clear" w:pos="360"/>
          <w:tab w:val="num" w:pos="851"/>
        </w:tabs>
        <w:spacing w:line="276" w:lineRule="auto"/>
        <w:ind w:left="567" w:firstLine="0"/>
        <w:jc w:val="both"/>
        <w:rPr>
          <w:rFonts w:cstheme="minorHAnsi"/>
          <w:sz w:val="22"/>
          <w:szCs w:val="22"/>
        </w:rPr>
      </w:pPr>
      <w:r w:rsidRPr="00BB75E4">
        <w:rPr>
          <w:rFonts w:cstheme="minorHAnsi"/>
          <w:sz w:val="22"/>
          <w:szCs w:val="22"/>
        </w:rPr>
        <w:t>Prostredie:</w:t>
      </w:r>
      <w:r w:rsidRPr="00BB75E4">
        <w:rPr>
          <w:rFonts w:cstheme="minorHAnsi"/>
          <w:sz w:val="22"/>
          <w:szCs w:val="22"/>
        </w:rPr>
        <w:tab/>
        <w:t>v zmysle STN 33 2000-5-52 /2010, VI. Vonkajšie priestory</w:t>
      </w:r>
    </w:p>
    <w:p w14:paraId="1E1F5188" w14:textId="5E3CA9CF" w:rsidR="006C46DD" w:rsidRDefault="006C46DD" w:rsidP="006C46DD">
      <w:pPr>
        <w:numPr>
          <w:ilvl w:val="0"/>
          <w:numId w:val="2"/>
        </w:numPr>
        <w:tabs>
          <w:tab w:val="clear" w:pos="360"/>
          <w:tab w:val="num" w:pos="851"/>
        </w:tabs>
        <w:spacing w:line="276" w:lineRule="auto"/>
        <w:ind w:left="851" w:hanging="284"/>
        <w:jc w:val="both"/>
        <w:rPr>
          <w:rFonts w:cstheme="minorHAnsi"/>
          <w:sz w:val="22"/>
          <w:szCs w:val="22"/>
        </w:rPr>
      </w:pPr>
      <w:r w:rsidRPr="00BB75E4">
        <w:rPr>
          <w:rFonts w:cstheme="minorHAnsi"/>
          <w:sz w:val="22"/>
          <w:szCs w:val="22"/>
        </w:rPr>
        <w:t>Zaradenie zariadenia do UTZ v zmysle vyhlášky č. 205/2010 príloha č. 4 tabuľka (časť) 4: druh zariadenia „E4a“.</w:t>
      </w:r>
    </w:p>
    <w:p w14:paraId="584B544C" w14:textId="77777777" w:rsidR="00914A9F" w:rsidRPr="00BB75E4" w:rsidRDefault="00914A9F" w:rsidP="00914A9F">
      <w:pPr>
        <w:spacing w:line="276" w:lineRule="auto"/>
        <w:ind w:left="851"/>
        <w:jc w:val="both"/>
        <w:rPr>
          <w:rFonts w:cstheme="minorHAnsi"/>
          <w:sz w:val="22"/>
          <w:szCs w:val="22"/>
        </w:rPr>
      </w:pPr>
    </w:p>
    <w:p w14:paraId="32879058"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Údržba</w:t>
      </w:r>
    </w:p>
    <w:p w14:paraId="15B953D1" w14:textId="3DC04641" w:rsidR="006C46DD" w:rsidRDefault="006C46DD" w:rsidP="006C46DD">
      <w:pPr>
        <w:pStyle w:val="Odsekzoznamu"/>
        <w:ind w:left="567"/>
        <w:jc w:val="both"/>
        <w:rPr>
          <w:rFonts w:ascii="Garamond" w:hAnsi="Garamond" w:cstheme="minorHAnsi"/>
        </w:rPr>
      </w:pPr>
      <w:r w:rsidRPr="00BB75E4">
        <w:rPr>
          <w:rFonts w:ascii="Garamond" w:hAnsi="Garamond" w:cstheme="minorHAnsi"/>
        </w:rPr>
        <w:t xml:space="preserve">Od dodávateľa </w:t>
      </w:r>
      <w:r w:rsidR="00914A9F">
        <w:rPr>
          <w:rFonts w:ascii="Garamond" w:hAnsi="Garamond" w:cstheme="minorHAnsi"/>
        </w:rPr>
        <w:t>spolu s dodávkou</w:t>
      </w:r>
      <w:r w:rsidRPr="00BB75E4">
        <w:rPr>
          <w:rFonts w:ascii="Garamond" w:hAnsi="Garamond" w:cstheme="minorHAnsi"/>
        </w:rPr>
        <w:t xml:space="preserve"> prístreškov požadujeme doložiť </w:t>
      </w:r>
      <w:r w:rsidR="00914A9F">
        <w:rPr>
          <w:rFonts w:ascii="Garamond" w:hAnsi="Garamond" w:cstheme="minorHAnsi"/>
        </w:rPr>
        <w:t xml:space="preserve">aj </w:t>
      </w:r>
      <w:r w:rsidRPr="00BB75E4">
        <w:rPr>
          <w:rFonts w:ascii="Garamond" w:hAnsi="Garamond" w:cstheme="minorHAnsi"/>
        </w:rPr>
        <w:t>manuál údržby, a to s ohľadom na umiestnenie</w:t>
      </w:r>
      <w:r w:rsidR="00914A9F">
        <w:rPr>
          <w:rFonts w:ascii="Garamond" w:hAnsi="Garamond" w:cstheme="minorHAnsi"/>
        </w:rPr>
        <w:t xml:space="preserve"> prístrešku</w:t>
      </w:r>
      <w:r w:rsidRPr="00BB75E4">
        <w:rPr>
          <w:rFonts w:ascii="Garamond" w:hAnsi="Garamond" w:cstheme="minorHAnsi"/>
        </w:rPr>
        <w:t xml:space="preserve">. </w:t>
      </w:r>
    </w:p>
    <w:p w14:paraId="01D13639" w14:textId="77777777" w:rsidR="006C46DD" w:rsidRPr="00BB75E4" w:rsidRDefault="006C46DD" w:rsidP="006C46DD">
      <w:pPr>
        <w:pStyle w:val="Odsekzoznamu"/>
        <w:ind w:left="567"/>
        <w:jc w:val="both"/>
        <w:rPr>
          <w:rFonts w:ascii="Garamond" w:hAnsi="Garamond" w:cstheme="minorHAnsi"/>
        </w:rPr>
      </w:pPr>
    </w:p>
    <w:p w14:paraId="5219CC26"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Záruka</w:t>
      </w:r>
    </w:p>
    <w:p w14:paraId="42B9A46D" w14:textId="2C58F280" w:rsidR="006C46DD" w:rsidRDefault="006C46DD" w:rsidP="006C46DD">
      <w:pPr>
        <w:autoSpaceDE w:val="0"/>
        <w:autoSpaceDN w:val="0"/>
        <w:adjustRightInd w:val="0"/>
        <w:spacing w:line="300" w:lineRule="auto"/>
        <w:ind w:left="567"/>
        <w:jc w:val="both"/>
        <w:rPr>
          <w:rFonts w:cstheme="minorHAnsi"/>
          <w:sz w:val="22"/>
          <w:szCs w:val="22"/>
        </w:rPr>
      </w:pPr>
      <w:r w:rsidRPr="00BB75E4">
        <w:rPr>
          <w:rFonts w:cstheme="minorHAnsi"/>
          <w:sz w:val="22"/>
          <w:szCs w:val="22"/>
        </w:rPr>
        <w:t xml:space="preserve">Na </w:t>
      </w:r>
      <w:r w:rsidR="00EC1036">
        <w:rPr>
          <w:rFonts w:cstheme="minorHAnsi"/>
          <w:sz w:val="22"/>
          <w:szCs w:val="22"/>
        </w:rPr>
        <w:t>tovar</w:t>
      </w:r>
      <w:r w:rsidRPr="00BB75E4">
        <w:rPr>
          <w:rFonts w:cstheme="minorHAnsi"/>
          <w:sz w:val="22"/>
          <w:szCs w:val="22"/>
        </w:rPr>
        <w:t xml:space="preserve"> a všetky jeho súčasti vrátane prístreška požadujeme záruku min. 5 rokov. Táto záruka sa nevzťahuje na akumulátor a svetelný zdroj, kde požadujeme záruku min. 3 roky od dátumu uvedenia do prevádzky.</w:t>
      </w:r>
    </w:p>
    <w:p w14:paraId="66E5B32D" w14:textId="77777777" w:rsidR="006C46DD" w:rsidRPr="00BB75E4" w:rsidRDefault="006C46DD" w:rsidP="006C46DD">
      <w:pPr>
        <w:autoSpaceDE w:val="0"/>
        <w:autoSpaceDN w:val="0"/>
        <w:adjustRightInd w:val="0"/>
        <w:spacing w:line="300" w:lineRule="auto"/>
        <w:ind w:left="567"/>
        <w:jc w:val="both"/>
        <w:rPr>
          <w:rFonts w:cstheme="minorHAnsi"/>
          <w:sz w:val="22"/>
          <w:szCs w:val="22"/>
        </w:rPr>
      </w:pPr>
    </w:p>
    <w:p w14:paraId="1517AD6D" w14:textId="77777777" w:rsidR="006C46DD" w:rsidRPr="00BB75E4" w:rsidRDefault="006C46DD" w:rsidP="006C46DD">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Výsledné riešenie</w:t>
      </w:r>
    </w:p>
    <w:p w14:paraId="4783C077" w14:textId="6B5BF0EA" w:rsidR="00017CB8" w:rsidRPr="00914A9F" w:rsidRDefault="006C46DD" w:rsidP="00914A9F">
      <w:pPr>
        <w:ind w:left="567"/>
        <w:jc w:val="both"/>
        <w:rPr>
          <w:rFonts w:cstheme="minorHAnsi"/>
          <w:sz w:val="22"/>
          <w:szCs w:val="22"/>
        </w:rPr>
      </w:pPr>
      <w:r w:rsidRPr="00BB75E4">
        <w:rPr>
          <w:rFonts w:cstheme="minorHAnsi"/>
          <w:sz w:val="22"/>
          <w:szCs w:val="22"/>
        </w:rPr>
        <w:t xml:space="preserve">Výsledné riešenie bude predmetom rokovania s vybraným dodávateľom, v zmysle zadaných technických požiadaviek. Každý prístrešok bude po </w:t>
      </w:r>
      <w:r w:rsidRPr="00BB75E4">
        <w:rPr>
          <w:rFonts w:cstheme="minorHAnsi"/>
          <w:sz w:val="22"/>
          <w:szCs w:val="22"/>
        </w:rPr>
        <w:t>osadení</w:t>
      </w:r>
      <w:r w:rsidRPr="00BB75E4">
        <w:rPr>
          <w:rFonts w:cstheme="minorHAnsi"/>
          <w:sz w:val="22"/>
          <w:szCs w:val="22"/>
        </w:rPr>
        <w:t xml:space="preserve"> musieť byť schválený zástupcami DPB a.s.</w:t>
      </w:r>
      <w:bookmarkEnd w:id="2"/>
      <w:bookmarkEnd w:id="3"/>
      <w:bookmarkEnd w:id="4"/>
    </w:p>
    <w:sectPr w:rsidR="00017CB8" w:rsidRPr="0091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057273"/>
    <w:multiLevelType w:val="hybridMultilevel"/>
    <w:tmpl w:val="EFAE83D4"/>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D1440F0"/>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7D2844A9"/>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D9346D3"/>
    <w:multiLevelType w:val="hybridMultilevel"/>
    <w:tmpl w:val="10420FA6"/>
    <w:lvl w:ilvl="0" w:tplc="041B0017">
      <w:start w:val="1"/>
      <w:numFmt w:val="lowerLetter"/>
      <w:lvlText w:val="%1)"/>
      <w:lvlJc w:val="left"/>
      <w:pPr>
        <w:ind w:left="861" w:hanging="360"/>
      </w:p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DD"/>
    <w:rsid w:val="00017CB8"/>
    <w:rsid w:val="00202A86"/>
    <w:rsid w:val="002404E6"/>
    <w:rsid w:val="004E1130"/>
    <w:rsid w:val="0069773D"/>
    <w:rsid w:val="006C46DD"/>
    <w:rsid w:val="0074480A"/>
    <w:rsid w:val="00914A9F"/>
    <w:rsid w:val="009815B0"/>
    <w:rsid w:val="00A92C45"/>
    <w:rsid w:val="00DD4B10"/>
    <w:rsid w:val="00EC10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EB7"/>
  <w15:chartTrackingRefBased/>
  <w15:docId w15:val="{C24B4DF7-ED84-4BDE-86FD-F8FE660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6DD"/>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6C46DD"/>
    <w:pPr>
      <w:keepNext/>
      <w:tabs>
        <w:tab w:val="num" w:pos="540"/>
      </w:tabs>
      <w:jc w:val="center"/>
      <w:outlineLvl w:val="0"/>
    </w:pPr>
    <w:rPr>
      <w:sz w:val="40"/>
      <w:szCs w:val="40"/>
    </w:rPr>
  </w:style>
  <w:style w:type="paragraph" w:styleId="Nadpis2">
    <w:name w:val="heading 2"/>
    <w:basedOn w:val="Normlny"/>
    <w:next w:val="Normlny"/>
    <w:link w:val="Nadpis2Char"/>
    <w:qFormat/>
    <w:rsid w:val="006C46DD"/>
    <w:pPr>
      <w:keepNext/>
      <w:tabs>
        <w:tab w:val="num" w:pos="540"/>
      </w:tabs>
      <w:spacing w:line="360" w:lineRule="auto"/>
      <w:jc w:val="center"/>
      <w:outlineLvl w:val="1"/>
    </w:pPr>
    <w:rPr>
      <w:b/>
      <w:bCs/>
      <w:sz w:val="32"/>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C46DD"/>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rsid w:val="006C46DD"/>
    <w:rPr>
      <w:rFonts w:ascii="Garamond" w:eastAsia="Times New Roman" w:hAnsi="Garamond" w:cs="Times New Roman"/>
      <w:b/>
      <w:bCs/>
      <w:noProof/>
      <w:sz w:val="32"/>
      <w:szCs w:val="30"/>
      <w:lang w:eastAsia="sk-SK"/>
    </w:rPr>
  </w:style>
  <w:style w:type="paragraph" w:styleId="Zkladntext">
    <w:name w:val="Body Text"/>
    <w:aliases w:val="Obsah"/>
    <w:basedOn w:val="Normlny"/>
    <w:link w:val="ZkladntextChar"/>
    <w:rsid w:val="006C46DD"/>
    <w:pPr>
      <w:jc w:val="both"/>
    </w:pPr>
    <w:rPr>
      <w:rFonts w:ascii="Arial" w:hAnsi="Arial"/>
      <w:sz w:val="20"/>
    </w:rPr>
  </w:style>
  <w:style w:type="character" w:customStyle="1" w:styleId="ZkladntextChar">
    <w:name w:val="Základný text Char"/>
    <w:aliases w:val="Obsah Char"/>
    <w:basedOn w:val="Predvolenpsmoodseku"/>
    <w:link w:val="Zkladntext"/>
    <w:rsid w:val="006C46DD"/>
    <w:rPr>
      <w:rFonts w:ascii="Arial" w:eastAsia="Times New Roman" w:hAnsi="Arial" w:cs="Times New Roman"/>
      <w:noProof/>
      <w:sz w:val="20"/>
      <w:szCs w:val="24"/>
      <w:lang w:eastAsia="sk-SK"/>
    </w:rPr>
  </w:style>
  <w:style w:type="paragraph" w:styleId="Zkladntext2">
    <w:name w:val="Body Text 2"/>
    <w:basedOn w:val="Normlny"/>
    <w:link w:val="Zkladntext2Char"/>
    <w:rsid w:val="006C46DD"/>
    <w:pPr>
      <w:spacing w:before="20"/>
    </w:pPr>
    <w:rPr>
      <w:rFonts w:ascii="Arial" w:hAnsi="Arial" w:cs="Arial"/>
      <w:sz w:val="14"/>
      <w:szCs w:val="14"/>
    </w:rPr>
  </w:style>
  <w:style w:type="character" w:customStyle="1" w:styleId="Zkladntext2Char">
    <w:name w:val="Základný text 2 Char"/>
    <w:basedOn w:val="Predvolenpsmoodseku"/>
    <w:link w:val="Zkladntext2"/>
    <w:rsid w:val="006C46DD"/>
    <w:rPr>
      <w:rFonts w:ascii="Arial" w:eastAsia="Times New Roman" w:hAnsi="Arial" w:cs="Arial"/>
      <w:noProof/>
      <w:sz w:val="14"/>
      <w:szCs w:val="14"/>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6C46DD"/>
    <w:pPr>
      <w:spacing w:after="200" w:line="276" w:lineRule="auto"/>
      <w:ind w:left="720"/>
      <w:contextualSpacing/>
    </w:pPr>
    <w:rPr>
      <w:rFonts w:ascii="Calibri" w:eastAsia="Calibri" w:hAnsi="Calibri"/>
      <w:noProof w:val="0"/>
      <w:sz w:val="22"/>
      <w:szCs w:val="22"/>
      <w:lang w:eastAsia="en-US"/>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6C46DD"/>
    <w:rPr>
      <w:rFonts w:ascii="Calibri" w:eastAsia="Calibri" w:hAnsi="Calibri" w:cs="Times New Roman"/>
    </w:rPr>
  </w:style>
  <w:style w:type="paragraph" w:customStyle="1" w:styleId="xmsonormal">
    <w:name w:val="x_msonormal"/>
    <w:basedOn w:val="Normlny"/>
    <w:rsid w:val="006C46DD"/>
    <w:rPr>
      <w:rFonts w:ascii="Calibri" w:eastAsiaTheme="minorHAns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1579</Words>
  <Characters>9006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Braniš Marek</dc:creator>
  <cp:keywords/>
  <dc:description/>
  <cp:lastModifiedBy>Notová Barbora</cp:lastModifiedBy>
  <cp:revision>1</cp:revision>
  <dcterms:created xsi:type="dcterms:W3CDTF">2021-07-08T12:57:00Z</dcterms:created>
  <dcterms:modified xsi:type="dcterms:W3CDTF">2021-07-08T13:02:00Z</dcterms:modified>
</cp:coreProperties>
</file>